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59A43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</w:rPr>
        <w:t>高级法</w:t>
      </w:r>
      <w:r>
        <w:rPr>
          <w:rFonts w:ascii="黑体" w:hAnsi="黑体" w:eastAsia="黑体"/>
          <w:sz w:val="32"/>
          <w:szCs w:val="32"/>
        </w:rPr>
        <w:t>语视听说（二）》</w:t>
      </w:r>
      <w:r>
        <w:rPr>
          <w:rFonts w:hint="eastAsia" w:ascii="黑体" w:hAnsi="黑体" w:eastAsia="黑体"/>
          <w:sz w:val="32"/>
          <w:szCs w:val="32"/>
        </w:rPr>
        <w:t>课程教学大纲</w:t>
      </w:r>
    </w:p>
    <w:p w14:paraId="1AABDCDA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2C8C4844">
        <w:trPr>
          <w:jc w:val="center"/>
        </w:trPr>
        <w:tc>
          <w:tcPr>
            <w:tcW w:w="1135" w:type="dxa"/>
            <w:vAlign w:val="center"/>
          </w:tcPr>
          <w:p w14:paraId="4E4448DF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CAC7D43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Advanced Audio-Visual-Oral French II</w:t>
            </w:r>
          </w:p>
        </w:tc>
        <w:tc>
          <w:tcPr>
            <w:tcW w:w="1134" w:type="dxa"/>
            <w:vAlign w:val="center"/>
          </w:tcPr>
          <w:p w14:paraId="704E3C8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4758C19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FREN1017</w:t>
            </w:r>
          </w:p>
        </w:tc>
      </w:tr>
      <w:tr w14:paraId="1795BF41">
        <w:trPr>
          <w:jc w:val="center"/>
        </w:trPr>
        <w:tc>
          <w:tcPr>
            <w:tcW w:w="1135" w:type="dxa"/>
            <w:vAlign w:val="center"/>
          </w:tcPr>
          <w:p w14:paraId="1CBD207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E940F56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34" w:type="dxa"/>
            <w:vAlign w:val="center"/>
          </w:tcPr>
          <w:p w14:paraId="311D2B5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7154F73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法语专业</w:t>
            </w:r>
          </w:p>
        </w:tc>
      </w:tr>
      <w:tr w14:paraId="51D00C1F">
        <w:trPr>
          <w:jc w:val="center"/>
        </w:trPr>
        <w:tc>
          <w:tcPr>
            <w:tcW w:w="1135" w:type="dxa"/>
            <w:vAlign w:val="center"/>
          </w:tcPr>
          <w:p w14:paraId="66D6D73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5B0C0298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1学分</w:t>
            </w:r>
          </w:p>
        </w:tc>
        <w:tc>
          <w:tcPr>
            <w:tcW w:w="1134" w:type="dxa"/>
            <w:vAlign w:val="center"/>
          </w:tcPr>
          <w:p w14:paraId="76CC6D5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1B8B809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36学时</w:t>
            </w:r>
          </w:p>
        </w:tc>
      </w:tr>
      <w:tr w14:paraId="330A9DB0">
        <w:trPr>
          <w:jc w:val="center"/>
        </w:trPr>
        <w:tc>
          <w:tcPr>
            <w:tcW w:w="1135" w:type="dxa"/>
            <w:vAlign w:val="center"/>
          </w:tcPr>
          <w:p w14:paraId="356DEC1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507C8C2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法国外教</w:t>
            </w:r>
            <w:r>
              <w:rPr>
                <w:rFonts w:hint="eastAsia" w:ascii="宋体" w:hAnsi="宋体" w:eastAsia="宋体"/>
                <w:lang w:eastAsia="zh-CN"/>
              </w:rPr>
              <w:t>，</w:t>
            </w:r>
            <w:r>
              <w:rPr>
                <w:rFonts w:hint="eastAsia" w:ascii="宋体" w:hAnsi="宋体" w:eastAsia="宋体"/>
              </w:rPr>
              <w:t>陆洵</w:t>
            </w:r>
          </w:p>
        </w:tc>
        <w:tc>
          <w:tcPr>
            <w:tcW w:w="1134" w:type="dxa"/>
            <w:vAlign w:val="center"/>
          </w:tcPr>
          <w:p w14:paraId="26ADAB7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F97F122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5年3月20日</w:t>
            </w:r>
          </w:p>
        </w:tc>
      </w:tr>
      <w:tr w14:paraId="2C01E44A">
        <w:trPr>
          <w:jc w:val="center"/>
        </w:trPr>
        <w:tc>
          <w:tcPr>
            <w:tcW w:w="1135" w:type="dxa"/>
            <w:vAlign w:val="center"/>
          </w:tcPr>
          <w:p w14:paraId="395037F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580B096">
            <w:pPr>
              <w:spacing w:before="156" w:beforeLines="50" w:after="156" w:afterLines="50"/>
              <w:rPr>
                <w:rFonts w:ascii="宋体" w:hAnsi="宋体" w:eastAsia="宋体"/>
                <w:lang w:val="fr-FR"/>
              </w:rPr>
            </w:pPr>
            <w:r>
              <w:rPr>
                <w:rFonts w:hint="eastAsia" w:ascii="宋体" w:hAnsi="宋体" w:eastAsia="宋体"/>
              </w:rPr>
              <w:t>卡佩勒，</w:t>
            </w:r>
            <w:r>
              <w:rPr>
                <w:rFonts w:ascii="宋体" w:hAnsi="宋体" w:eastAsia="宋体"/>
              </w:rPr>
              <w:t>吉东</w:t>
            </w:r>
            <w:r>
              <w:rPr>
                <w:rFonts w:hint="eastAsia" w:ascii="宋体" w:hAnsi="宋体" w:eastAsia="宋体"/>
              </w:rPr>
              <w:t>著，</w:t>
            </w:r>
            <w:r>
              <w:rPr>
                <w:rFonts w:ascii="宋体" w:hAnsi="宋体" w:eastAsia="宋体"/>
              </w:rPr>
              <w:t>吴云凤</w:t>
            </w:r>
            <w:r>
              <w:rPr>
                <w:rFonts w:hint="eastAsia" w:ascii="宋体" w:hAnsi="宋体" w:eastAsia="宋体"/>
              </w:rPr>
              <w:t>，</w:t>
            </w:r>
            <w:r>
              <w:rPr>
                <w:rFonts w:ascii="宋体" w:hAnsi="宋体" w:eastAsia="宋体"/>
              </w:rPr>
              <w:t>胡瑜</w:t>
            </w:r>
            <w:r>
              <w:rPr>
                <w:rFonts w:hint="eastAsia" w:ascii="宋体" w:hAnsi="宋体" w:eastAsia="宋体"/>
              </w:rPr>
              <w:t>编译，</w:t>
            </w:r>
            <w:r>
              <w:rPr>
                <w:rFonts w:hint="eastAsia" w:ascii="宋体" w:hAnsi="宋体" w:eastAsia="宋体"/>
                <w:lang w:val="fr-FR"/>
              </w:rPr>
              <w:t>《走遍法国》</w:t>
            </w:r>
            <w:r>
              <w:rPr>
                <w:rFonts w:hint="eastAsia" w:ascii="宋体" w:hAnsi="宋体" w:eastAsia="宋体"/>
              </w:rPr>
              <w:t>（1下），</w:t>
            </w:r>
            <w:r>
              <w:rPr>
                <w:rFonts w:hint="eastAsia" w:ascii="宋体" w:hAnsi="宋体" w:eastAsia="宋体"/>
                <w:lang w:val="fr-FR"/>
              </w:rPr>
              <w:t>外语教学与研究出版社</w:t>
            </w:r>
            <w:r>
              <w:rPr>
                <w:rFonts w:hint="eastAsia" w:ascii="宋体" w:hAnsi="宋体" w:eastAsia="宋体"/>
              </w:rPr>
              <w:t>，2</w:t>
            </w:r>
            <w:r>
              <w:rPr>
                <w:rFonts w:ascii="宋体" w:hAnsi="宋体" w:eastAsia="宋体"/>
              </w:rPr>
              <w:t>006</w:t>
            </w:r>
            <w:r>
              <w:rPr>
                <w:rFonts w:hint="eastAsia" w:ascii="宋体" w:hAnsi="宋体" w:eastAsia="宋体"/>
                <w:lang w:val="fr-FR"/>
              </w:rPr>
              <w:t>年</w:t>
            </w:r>
          </w:p>
          <w:p w14:paraId="450355DD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卡佩勒，吉东著，祁一舟，周志成编译，《走遍法国》（</w:t>
            </w:r>
            <w:r>
              <w:rPr>
                <w:rFonts w:ascii="宋体" w:hAnsi="宋体" w:eastAsia="宋体"/>
              </w:rPr>
              <w:t>2），外语教学与研究出版社，2007年</w:t>
            </w:r>
          </w:p>
          <w:p w14:paraId="748C739D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杨晓敏，高方编，《理解当代中国法语演讲教程》，外语教学与研究出版社，2022年</w:t>
            </w:r>
          </w:p>
        </w:tc>
      </w:tr>
    </w:tbl>
    <w:p w14:paraId="5F9FBF07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0E7048B6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04A2277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经过《初级法语视听说》《基础法语》系列课程以及《高级法语视听说（一）》的学习和训练，学生已经有了一定的语言知识和技能。在此基础上，还需进一步培养对法语的语感，提高语言技能，掌握交际内容较为深入，句型结构较为复杂的表达。该课程的目的就是</w:t>
      </w:r>
      <w:r>
        <w:rPr>
          <w:rFonts w:hint="eastAsia" w:hAnsi="宋体"/>
          <w:color w:val="000000"/>
          <w:szCs w:val="21"/>
        </w:rPr>
        <w:t>将习近平新时代中国特色社会主义思想的学习与法语</w:t>
      </w:r>
      <w:r>
        <w:rPr>
          <w:rFonts w:hint="eastAsia" w:hAnsi="宋体"/>
          <w:color w:val="000000"/>
          <w:szCs w:val="21"/>
          <w:lang w:val="en-US" w:eastAsia="zh-CN"/>
        </w:rPr>
        <w:t>高阶</w:t>
      </w:r>
      <w:r>
        <w:rPr>
          <w:rFonts w:hint="eastAsia" w:hAnsi="宋体"/>
          <w:color w:val="000000"/>
          <w:szCs w:val="21"/>
        </w:rPr>
        <w:t>口语学习相融合，引导学生从全球视野理解中国理论和中国实践，融合语言内容，拓展学生的国际视野，提高批判性跨文化意识，从跨文化视角培养学生的法语口语表达能力</w:t>
      </w:r>
      <w:r>
        <w:rPr>
          <w:rFonts w:hint="eastAsia" w:hAnsi="宋体"/>
          <w:color w:val="000000"/>
          <w:szCs w:val="21"/>
          <w:lang w:eastAsia="zh-CN"/>
        </w:rPr>
        <w:t>，</w:t>
      </w:r>
      <w:r>
        <w:rPr>
          <w:rFonts w:hint="eastAsia" w:hAnsi="宋体"/>
          <w:color w:val="000000"/>
          <w:szCs w:val="21"/>
          <w:lang w:val="en-US" w:eastAsia="zh-CN"/>
        </w:rPr>
        <w:t>并</w:t>
      </w:r>
      <w:bookmarkStart w:id="0" w:name="_GoBack"/>
      <w:bookmarkEnd w:id="0"/>
      <w:r>
        <w:rPr>
          <w:rFonts w:hint="eastAsia" w:hAnsi="宋体" w:cs="宋体"/>
        </w:rPr>
        <w:t>使学生在一个全真模拟的“法国环境”下通过认真观看、倾听法国人在日常生活中各种活动，学习口头交流的信息流入，即听懂，和信息流出，即说，表达。引导学生尝试将所学的内容用正确，精简的口头语言，像法国人一样与人交流。</w:t>
      </w:r>
    </w:p>
    <w:p w14:paraId="5BCFCBCD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《高级法语视听说（二）》</w:t>
      </w:r>
      <w:r>
        <w:rPr>
          <w:rFonts w:hAnsi="宋体" w:cs="宋体"/>
        </w:rPr>
        <w:t>课程面向法语专业三年级学生</w:t>
      </w:r>
      <w:r>
        <w:rPr>
          <w:rFonts w:hint="eastAsia" w:hAnsi="宋体" w:cs="宋体"/>
        </w:rPr>
        <w:t>，课程的教学过程主要包括4个单元：剧情理解，语法学习，语言交际，以及辅助性内容（阅读，词汇扩展，文化点滴）。内容涉及社交生活的方方面面。围绕课文主题，从看，到听，到说。通过语法和词汇学习为听说训练做准备，通过看没有声音的视频，对学生提问，促使学生使用主题词汇，鼓励学生预设将会听到的语言内容。再放出视频声音，让学生听，第一遍听整体意思，第二遍听细节重点。最后通过对照课文，让学生再自己的听力过程查漏补缺。最后进行口语练习，要求词汇和表达的正确使用以及法式的语音和语调。</w:t>
      </w:r>
    </w:p>
    <w:p w14:paraId="4DCA68B0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691F1362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课程目标</w:t>
      </w:r>
      <w:r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：法语综合知识</w:t>
      </w:r>
    </w:p>
    <w:p w14:paraId="68378292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1.1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进一步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法语口语交际的高级词汇及地道表达</w:t>
      </w:r>
    </w:p>
    <w:p w14:paraId="3499116D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1.2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熟悉法国人日常生活情境和文化信息 </w:t>
      </w:r>
    </w:p>
    <w:p w14:paraId="6F3E5C22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课程目标</w:t>
      </w:r>
      <w:r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：法语</w:t>
      </w:r>
      <w:r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运用能力</w:t>
      </w:r>
    </w:p>
    <w:p w14:paraId="466186E0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2.1 能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复述所听内容的整体意思及细节重点</w:t>
      </w:r>
    </w:p>
    <w:p w14:paraId="26802967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2.2 能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使用正确的语音语调用法语准确有效地口头表达信息、观念等</w:t>
      </w:r>
    </w:p>
    <w:p w14:paraId="1DC108B8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2.3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能独立完成一般口译任务</w:t>
      </w:r>
    </w:p>
    <w:p w14:paraId="11784C72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课程目标</w:t>
      </w:r>
      <w:r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：爱国情怀和</w:t>
      </w:r>
      <w:r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跨文化交际能力</w:t>
      </w:r>
    </w:p>
    <w:p w14:paraId="4F195D79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3.1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在了解我国国情的基础上具有跨文化意识</w:t>
      </w:r>
    </w:p>
    <w:p w14:paraId="1B23BD4E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3.2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熟悉党和国家方针政策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，理解中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法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文化的基本特点和异同</w:t>
      </w:r>
    </w:p>
    <w:p w14:paraId="452224B7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3.3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能借助法语口语进行有效的跨文化交际和沟通</w:t>
      </w:r>
    </w:p>
    <w:p w14:paraId="49E74FFB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课程目标</w:t>
      </w:r>
      <w:r>
        <w:rPr>
          <w:rFonts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：思辨能力和自主学习能力</w:t>
      </w:r>
    </w:p>
    <w:p w14:paraId="49F41F4F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4.1 勤学好问，谨慎判断，公正评价</w:t>
      </w:r>
    </w:p>
    <w:p w14:paraId="3561EC59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4.2 能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经常反思，不断调整适合自己的学习方法</w:t>
      </w:r>
    </w:p>
    <w:p w14:paraId="08B4D339"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.3 能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借助网络等工具搜集学习资料、信息</w:t>
      </w:r>
    </w:p>
    <w:p w14:paraId="1C17F0B9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5D7AB9D4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1837"/>
        <w:gridCol w:w="3969"/>
      </w:tblGrid>
      <w:tr w14:paraId="6445319F">
        <w:trPr>
          <w:jc w:val="center"/>
        </w:trPr>
        <w:tc>
          <w:tcPr>
            <w:tcW w:w="1302" w:type="dxa"/>
            <w:vAlign w:val="center"/>
          </w:tcPr>
          <w:p w14:paraId="4837E4F0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356ACBF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1837" w:type="dxa"/>
            <w:vAlign w:val="center"/>
          </w:tcPr>
          <w:p w14:paraId="4F2DE1E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969" w:type="dxa"/>
            <w:vAlign w:val="center"/>
          </w:tcPr>
          <w:p w14:paraId="2E3FE51C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3A655610">
        <w:trPr>
          <w:jc w:val="center"/>
        </w:trPr>
        <w:tc>
          <w:tcPr>
            <w:tcW w:w="1302" w:type="dxa"/>
            <w:vMerge w:val="restart"/>
            <w:vAlign w:val="center"/>
          </w:tcPr>
          <w:p w14:paraId="4D8D816B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48AACBD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1837" w:type="dxa"/>
            <w:vAlign w:val="center"/>
          </w:tcPr>
          <w:p w14:paraId="5B5B25D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52C7730F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ascii="宋体" w:hAnsi="宋体" w:eastAsia="宋体" w:cs="宋体"/>
                <w:szCs w:val="20"/>
              </w:rPr>
              <w:t>2.掌握法语语言知识、法语文学知识、跨文化知识和相关人文社科知识。</w:t>
            </w:r>
          </w:p>
          <w:p w14:paraId="4895EB01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ascii="宋体" w:hAnsi="宋体" w:eastAsia="宋体" w:cs="宋体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szCs w:val="20"/>
              </w:rPr>
              <w:t>-</w:t>
            </w:r>
            <w:r>
              <w:rPr>
                <w:rFonts w:ascii="宋体" w:hAnsi="宋体" w:eastAsia="宋体" w:cs="宋体"/>
                <w:szCs w:val="20"/>
              </w:rPr>
              <w:t>1 熟练掌握法语语音、语法、词汇等基础语言知识</w:t>
            </w:r>
          </w:p>
        </w:tc>
      </w:tr>
      <w:tr w14:paraId="7B34187B">
        <w:trPr>
          <w:jc w:val="center"/>
        </w:trPr>
        <w:tc>
          <w:tcPr>
            <w:tcW w:w="1302" w:type="dxa"/>
            <w:vMerge w:val="continue"/>
            <w:vAlign w:val="center"/>
          </w:tcPr>
          <w:p w14:paraId="5CA36F5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4F33A0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1837" w:type="dxa"/>
            <w:vAlign w:val="center"/>
          </w:tcPr>
          <w:p w14:paraId="02067EE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4E3E5122">
            <w:pPr>
              <w:pStyle w:val="2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</w:t>
            </w:r>
            <w:r>
              <w:rPr>
                <w:rFonts w:hAnsi="宋体" w:cs="宋体"/>
              </w:rPr>
              <w:t>.掌握法语语言知识、法语文学知识、跨文化知识和相关人文社科知识。</w:t>
            </w:r>
          </w:p>
          <w:p w14:paraId="47BB6590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2-2 掌握法语语言学知识、法语文学知识和俄罗斯文化知识，熟悉中国语言文化知识以及跨文化知识</w:t>
            </w:r>
          </w:p>
        </w:tc>
      </w:tr>
      <w:tr w14:paraId="0CE6CCD4">
        <w:trPr>
          <w:jc w:val="center"/>
        </w:trPr>
        <w:tc>
          <w:tcPr>
            <w:tcW w:w="1302" w:type="dxa"/>
            <w:vMerge w:val="restart"/>
            <w:vAlign w:val="center"/>
          </w:tcPr>
          <w:p w14:paraId="189C185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375EFD4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1837" w:type="dxa"/>
            <w:vAlign w:val="center"/>
          </w:tcPr>
          <w:p w14:paraId="52284D2F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6F25F896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3.熟练掌握法语的听、说、读、写、译技能，具备较强的法语综合运用能力。 </w:t>
            </w:r>
          </w:p>
          <w:p w14:paraId="1EBE7DA4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3-2 能理解外语口语和书面语传递的信息、观点、情感</w:t>
            </w:r>
          </w:p>
        </w:tc>
      </w:tr>
      <w:tr w14:paraId="1BCBD4ED">
        <w:trPr>
          <w:jc w:val="center"/>
        </w:trPr>
        <w:tc>
          <w:tcPr>
            <w:tcW w:w="1302" w:type="dxa"/>
            <w:vMerge w:val="continue"/>
            <w:vAlign w:val="center"/>
          </w:tcPr>
          <w:p w14:paraId="0D4CA91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50FFF3E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1837" w:type="dxa"/>
            <w:vAlign w:val="center"/>
          </w:tcPr>
          <w:p w14:paraId="063BE9BD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4382B9D2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3.熟练掌握法语的听、说、读、写、译技能，具备较强的法语综合运用能力。</w:t>
            </w:r>
          </w:p>
          <w:p w14:paraId="091F960B">
            <w:pPr>
              <w:pStyle w:val="2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3-</w:t>
            </w:r>
            <w:r>
              <w:rPr>
                <w:rFonts w:hAnsi="宋体" w:cs="宋体"/>
              </w:rPr>
              <w:t>3能使用外语口语和书面语有效传递信息，表达思想、情感，再现生活经验，并能注意语言表达的得体性和准确性</w:t>
            </w:r>
          </w:p>
        </w:tc>
      </w:tr>
      <w:tr w14:paraId="0A3AEDD5">
        <w:trPr>
          <w:jc w:val="center"/>
        </w:trPr>
        <w:tc>
          <w:tcPr>
            <w:tcW w:w="1302" w:type="dxa"/>
            <w:vMerge w:val="continue"/>
            <w:vAlign w:val="center"/>
          </w:tcPr>
          <w:p w14:paraId="75B4530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1E1FF9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  <w:r>
              <w:rPr>
                <w:rFonts w:hAnsi="宋体" w:cs="宋体"/>
                <w:szCs w:val="21"/>
              </w:rPr>
              <w:t>.3</w:t>
            </w:r>
          </w:p>
        </w:tc>
        <w:tc>
          <w:tcPr>
            <w:tcW w:w="1837" w:type="dxa"/>
            <w:vAlign w:val="center"/>
          </w:tcPr>
          <w:p w14:paraId="76175224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77B72CCE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3.熟练掌握法语的听、说、读、写、译技能，具备较强的法语综合运用能力。</w:t>
            </w:r>
          </w:p>
          <w:p w14:paraId="493ED33F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3-4 能借助语言工具书和相关资源进行笔译工作，并能完成一般的口译任务</w:t>
            </w:r>
          </w:p>
        </w:tc>
      </w:tr>
      <w:tr w14:paraId="5D66BB60">
        <w:trPr>
          <w:jc w:val="center"/>
        </w:trPr>
        <w:tc>
          <w:tcPr>
            <w:tcW w:w="1302" w:type="dxa"/>
            <w:vMerge w:val="restart"/>
            <w:vAlign w:val="center"/>
          </w:tcPr>
          <w:p w14:paraId="11C2C4F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80B279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1837" w:type="dxa"/>
            <w:vAlign w:val="center"/>
          </w:tcPr>
          <w:p w14:paraId="5EFAF9B0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5D49BE5C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5.</w:t>
            </w:r>
            <w:r>
              <w:rPr>
                <w:rFonts w:hint="eastAsia" w:hAnsi="宋体" w:cs="宋体"/>
              </w:rPr>
              <w:t>具备较强的跨文化交际能力，具有对文化差异的敏感性、宽容性以及处理文化差异的灵活性。</w:t>
            </w:r>
          </w:p>
          <w:p w14:paraId="7118BF10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5-1 尊重世界文化多样性，具有跨文化和批判性文化意识</w:t>
            </w:r>
          </w:p>
        </w:tc>
      </w:tr>
      <w:tr w14:paraId="34E9906F">
        <w:trPr>
          <w:jc w:val="center"/>
        </w:trPr>
        <w:tc>
          <w:tcPr>
            <w:tcW w:w="1302" w:type="dxa"/>
            <w:vMerge w:val="continue"/>
            <w:vAlign w:val="center"/>
          </w:tcPr>
          <w:p w14:paraId="492F47B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5DFECC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1837" w:type="dxa"/>
            <w:vAlign w:val="center"/>
          </w:tcPr>
          <w:p w14:paraId="6A8BADAA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0B923A03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5.</w:t>
            </w:r>
            <w:r>
              <w:rPr>
                <w:rFonts w:hint="eastAsia" w:hAnsi="宋体" w:cs="宋体"/>
              </w:rPr>
              <w:t>具备较强的跨文化交际能力，具有对文化差异的敏感性、宽容性以及处理文化差异的灵活性。</w:t>
            </w:r>
          </w:p>
          <w:p w14:paraId="03C8441C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5-2 掌握基本的跨文化研究理论知识和分析方法，理解中外文化的基本特点和异同</w:t>
            </w:r>
          </w:p>
        </w:tc>
      </w:tr>
      <w:tr w14:paraId="225836DE">
        <w:trPr>
          <w:jc w:val="center"/>
        </w:trPr>
        <w:tc>
          <w:tcPr>
            <w:tcW w:w="1302" w:type="dxa"/>
            <w:vMerge w:val="continue"/>
            <w:vAlign w:val="center"/>
          </w:tcPr>
          <w:p w14:paraId="7F56B6E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CB2DDA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.3</w:t>
            </w:r>
          </w:p>
        </w:tc>
        <w:tc>
          <w:tcPr>
            <w:tcW w:w="1837" w:type="dxa"/>
            <w:vAlign w:val="center"/>
          </w:tcPr>
          <w:p w14:paraId="34EE630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385ACE94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5.</w:t>
            </w:r>
            <w:r>
              <w:rPr>
                <w:rFonts w:hint="eastAsia" w:hAnsi="宋体" w:cs="宋体"/>
              </w:rPr>
              <w:t>具备较强的跨文化交际能力，具有对文化差异的敏感性、宽容性以及处理文化差异的灵活性。</w:t>
            </w:r>
          </w:p>
          <w:p w14:paraId="0EB3C9FA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5-4 能有效和恰当地进行跨文化沟通</w:t>
            </w:r>
          </w:p>
        </w:tc>
      </w:tr>
      <w:tr w14:paraId="5E893657">
        <w:trPr>
          <w:jc w:val="center"/>
        </w:trPr>
        <w:tc>
          <w:tcPr>
            <w:tcW w:w="1302" w:type="dxa"/>
            <w:vMerge w:val="restart"/>
            <w:vAlign w:val="center"/>
          </w:tcPr>
          <w:p w14:paraId="2D3D9B3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4</w:t>
            </w:r>
          </w:p>
        </w:tc>
        <w:tc>
          <w:tcPr>
            <w:tcW w:w="1959" w:type="dxa"/>
            <w:vAlign w:val="center"/>
          </w:tcPr>
          <w:p w14:paraId="2F78928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1837" w:type="dxa"/>
            <w:vAlign w:val="center"/>
          </w:tcPr>
          <w:p w14:paraId="3F992C90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724F7803">
            <w:pPr>
              <w:pStyle w:val="2"/>
              <w:rPr>
                <w:rFonts w:hAnsi="宋体" w:cstheme="minorBidi"/>
                <w:szCs w:val="22"/>
              </w:rPr>
            </w:pPr>
            <w:r>
              <w:rPr>
                <w:rFonts w:hAnsi="宋体" w:cstheme="minorBidi"/>
                <w:szCs w:val="22"/>
              </w:rPr>
              <w:t>8</w:t>
            </w:r>
            <w:r>
              <w:rPr>
                <w:rFonts w:hint="eastAsia" w:hAnsi="宋体" w:cstheme="minorBidi"/>
                <w:szCs w:val="22"/>
              </w:rPr>
              <w:t>.</w:t>
            </w:r>
            <w:r>
              <w:rPr>
                <w:rFonts w:hAnsi="宋体" w:cstheme="minorBidi"/>
                <w:szCs w:val="22"/>
              </w:rPr>
              <w:t>具备良好的思辨能力，能对证据、概念、方法、背景等要素进行阐述、分析、评价、推理与解释；能自觉反思和调节自己的思维过程。</w:t>
            </w:r>
          </w:p>
          <w:p w14:paraId="6DBBF3E9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8-1 勤学好问，相信理性，尊重事实，谨慎判断，公正评价，敏于探究，持之以恒地追求真理</w:t>
            </w:r>
          </w:p>
        </w:tc>
      </w:tr>
      <w:tr w14:paraId="52B9829C">
        <w:trPr>
          <w:jc w:val="center"/>
        </w:trPr>
        <w:tc>
          <w:tcPr>
            <w:tcW w:w="1302" w:type="dxa"/>
            <w:vMerge w:val="continue"/>
            <w:vAlign w:val="center"/>
          </w:tcPr>
          <w:p w14:paraId="50F69BD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FC4969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1837" w:type="dxa"/>
            <w:vAlign w:val="center"/>
          </w:tcPr>
          <w:p w14:paraId="53D0F2E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12031A34">
            <w:pPr>
              <w:pStyle w:val="2"/>
              <w:rPr>
                <w:rFonts w:hAnsi="宋体" w:cstheme="minorBidi"/>
                <w:szCs w:val="22"/>
              </w:rPr>
            </w:pPr>
            <w:r>
              <w:rPr>
                <w:rFonts w:hAnsi="宋体" w:cstheme="minorBidi"/>
                <w:szCs w:val="22"/>
              </w:rPr>
              <w:t>6</w:t>
            </w:r>
            <w:r>
              <w:rPr>
                <w:rFonts w:hint="eastAsia" w:hAnsi="宋体" w:cstheme="minorBidi"/>
                <w:szCs w:val="22"/>
              </w:rPr>
              <w:t>.</w:t>
            </w:r>
            <w:r>
              <w:rPr>
                <w:rFonts w:hAnsi="宋体" w:cstheme="minorBidi"/>
                <w:szCs w:val="22"/>
              </w:rPr>
              <w:t>具备获取和更新专业知识的学习能力以及较强的自主学习能力。</w:t>
            </w:r>
          </w:p>
          <w:p w14:paraId="1C10FCA8">
            <w:pPr>
              <w:pStyle w:val="2"/>
              <w:rPr>
                <w:rFonts w:hAnsi="宋体" w:cs="宋体"/>
              </w:rPr>
            </w:pPr>
            <w:r>
              <w:rPr>
                <w:rFonts w:hAnsi="宋体" w:cs="宋体"/>
              </w:rPr>
              <w:t>6-3 能及时总结并善于借鉴有效学习策略改进学习方法</w:t>
            </w:r>
          </w:p>
        </w:tc>
      </w:tr>
      <w:tr w14:paraId="348BAE82">
        <w:trPr>
          <w:jc w:val="center"/>
        </w:trPr>
        <w:tc>
          <w:tcPr>
            <w:tcW w:w="1302" w:type="dxa"/>
            <w:vMerge w:val="continue"/>
            <w:vAlign w:val="center"/>
          </w:tcPr>
          <w:p w14:paraId="31D482C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0A8BEB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.3</w:t>
            </w:r>
          </w:p>
        </w:tc>
        <w:tc>
          <w:tcPr>
            <w:tcW w:w="1837" w:type="dxa"/>
            <w:vAlign w:val="center"/>
          </w:tcPr>
          <w:p w14:paraId="24A855F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第十三章到第二十九章内容</w:t>
            </w:r>
          </w:p>
        </w:tc>
        <w:tc>
          <w:tcPr>
            <w:tcW w:w="3969" w:type="dxa"/>
            <w:vAlign w:val="center"/>
          </w:tcPr>
          <w:p w14:paraId="68F660AF">
            <w:pPr>
              <w:pStyle w:val="2"/>
              <w:rPr>
                <w:rFonts w:hAnsi="宋体" w:cstheme="minorBidi"/>
                <w:szCs w:val="22"/>
              </w:rPr>
            </w:pPr>
            <w:r>
              <w:rPr>
                <w:rFonts w:hAnsi="宋体" w:cstheme="minorBidi"/>
                <w:szCs w:val="22"/>
              </w:rPr>
              <w:t>6</w:t>
            </w:r>
            <w:r>
              <w:rPr>
                <w:rFonts w:hint="eastAsia" w:hAnsi="宋体" w:cstheme="minorBidi"/>
                <w:szCs w:val="22"/>
              </w:rPr>
              <w:t>.</w:t>
            </w:r>
            <w:r>
              <w:rPr>
                <w:rFonts w:hAnsi="宋体" w:cstheme="minorBidi"/>
                <w:szCs w:val="22"/>
              </w:rPr>
              <w:t>具备获取和更新专业知识的学习能力以及较强的自主学习能力。</w:t>
            </w:r>
          </w:p>
          <w:p w14:paraId="4EE7FAC1">
            <w:pPr>
              <w:pStyle w:val="2"/>
              <w:rPr>
                <w:rFonts w:hAnsi="宋体" w:cs="宋体"/>
              </w:rPr>
            </w:pPr>
            <w:r>
              <w:rPr>
                <w:rFonts w:hAnsi="宋体" w:cstheme="minorBidi"/>
                <w:szCs w:val="22"/>
              </w:rPr>
              <w:t>6-4 能利用现代信息手段进行自主学习</w:t>
            </w:r>
          </w:p>
        </w:tc>
      </w:tr>
    </w:tbl>
    <w:p w14:paraId="6DB27662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7274808A">
      <w:pPr>
        <w:widowControl/>
        <w:spacing w:before="156" w:beforeLines="50" w:after="156" w:afterLines="50"/>
        <w:ind w:firstLine="480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第十三章 </w:t>
      </w:r>
      <w:r>
        <w:rPr>
          <w:rFonts w:ascii="黑体" w:hAnsi="黑体" w:eastAsia="黑体" w:cs="Times New Roman"/>
          <w:b/>
          <w:sz w:val="24"/>
          <w:szCs w:val="24"/>
        </w:rPr>
        <w:t>Le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treize</w:t>
      </w:r>
    </w:p>
    <w:p w14:paraId="7A74208C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541182C9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一、打断别人的谈话</w:t>
      </w:r>
    </w:p>
    <w:p w14:paraId="3ED33076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二、指责他人</w:t>
      </w:r>
    </w:p>
    <w:p w14:paraId="46F6F7BB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三、直陈式时态复习：现在时，简单将来时，复合过去时，未完成过去时</w:t>
      </w:r>
    </w:p>
    <w:p w14:paraId="0B8AAB1C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61D31368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Grammaire 1 2 3 4 5</w:t>
      </w:r>
    </w:p>
    <w:p w14:paraId="799C6C7F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第十四章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quatorze</w:t>
      </w:r>
    </w:p>
    <w:p w14:paraId="00FB3DAD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4179BAF0">
      <w:pPr>
        <w:pStyle w:val="13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表达祝愿</w:t>
      </w:r>
    </w:p>
    <w:p w14:paraId="76055FA7">
      <w:pPr>
        <w:pStyle w:val="13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阅读：温馨的法兰西，度假的胜地</w:t>
      </w:r>
    </w:p>
    <w:p w14:paraId="47338680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1EBBA7A8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C</w:t>
      </w:r>
      <w:r>
        <w:rPr>
          <w:rFonts w:ascii="宋体" w:hAnsi="宋体" w:eastAsia="宋体" w:cs="TimesNewRomanPSMT"/>
          <w:color w:val="000000"/>
          <w:kern w:val="0"/>
          <w:szCs w:val="21"/>
        </w:rPr>
        <w:t>ommuniquez 3 4</w:t>
      </w:r>
    </w:p>
    <w:p w14:paraId="201B92A1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第十五章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quinze</w:t>
      </w:r>
    </w:p>
    <w:p w14:paraId="5CD4DF9C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6D935B8E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一、文化：蔚蓝海岸</w:t>
      </w:r>
    </w:p>
    <w:p w14:paraId="492C4867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二、文学：加缪</w:t>
      </w:r>
    </w:p>
    <w:p w14:paraId="42E26DF6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03A14858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预习下节课内容</w:t>
      </w:r>
    </w:p>
    <w:p w14:paraId="5D610081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第十六章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seize</w:t>
      </w:r>
    </w:p>
    <w:p w14:paraId="6D5D38F7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2C5F4F59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一、要求帮助</w:t>
      </w:r>
    </w:p>
    <w:p w14:paraId="5F73C74C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二、语法：虚拟式，不定式，副词等</w:t>
      </w:r>
    </w:p>
    <w:p w14:paraId="77B190C3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720B8717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Grammaire 1 2 3 4 5</w:t>
      </w:r>
    </w:p>
    <w:p w14:paraId="3F4A801B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第十七章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dix-sept</w:t>
      </w:r>
    </w:p>
    <w:p w14:paraId="2821644D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2411A54E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一、邀请</w:t>
      </w:r>
    </w:p>
    <w:p w14:paraId="53FF782D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二、接受或拒绝邀请</w:t>
      </w:r>
    </w:p>
    <w:p w14:paraId="0AB24432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三、阅读：社会风景：滑轮一族</w:t>
      </w:r>
    </w:p>
    <w:p w14:paraId="73EEF094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3090435F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Communiquez 3 4</w:t>
      </w:r>
    </w:p>
    <w:p w14:paraId="297552AE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第十八章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dix-huit</w:t>
      </w:r>
    </w:p>
    <w:p w14:paraId="14F19569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12FD9977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一、文化：共和国名胜</w:t>
      </w:r>
    </w:p>
    <w:p w14:paraId="25F5262D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二、写作：名人传记</w:t>
      </w:r>
    </w:p>
    <w:p w14:paraId="48C64BD0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7A573EA1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预习下节课内容</w:t>
      </w:r>
    </w:p>
    <w:p w14:paraId="000A9F0D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第十九章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dix-neuf</w:t>
      </w:r>
    </w:p>
    <w:p w14:paraId="3284733D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1E45C9E0">
      <w:pPr>
        <w:pStyle w:val="13"/>
        <w:numPr>
          <w:ilvl w:val="0"/>
          <w:numId w:val="2"/>
        </w:numPr>
        <w:snapToGrid w:val="0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表达建议</w:t>
      </w:r>
    </w:p>
    <w:p w14:paraId="765E47E6">
      <w:pPr>
        <w:pStyle w:val="13"/>
        <w:numPr>
          <w:ilvl w:val="0"/>
          <w:numId w:val="2"/>
        </w:numPr>
        <w:snapToGrid w:val="0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下馆子</w:t>
      </w:r>
    </w:p>
    <w:p w14:paraId="19F9453B">
      <w:pPr>
        <w:pStyle w:val="13"/>
        <w:numPr>
          <w:ilvl w:val="0"/>
          <w:numId w:val="2"/>
        </w:numPr>
        <w:snapToGrid w:val="0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语法：条件式，双重否定，省略冠词等</w:t>
      </w:r>
    </w:p>
    <w:p w14:paraId="0AE1B9E2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10A4D797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Grammaire 1 2 3 4 5</w:t>
      </w:r>
    </w:p>
    <w:p w14:paraId="1EEF7015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vingt</w:t>
      </w:r>
    </w:p>
    <w:p w14:paraId="62ABA041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6D2FDA84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一、离开餐馆</w:t>
      </w:r>
    </w:p>
    <w:p w14:paraId="5FDEF249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二、阅读：狂欢节的好去处</w:t>
      </w:r>
    </w:p>
    <w:p w14:paraId="0701CFF0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6B92CF80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Communiquez 3 4</w:t>
      </w:r>
    </w:p>
    <w:p w14:paraId="7A2F4CDE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第二十一章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vingt et une</w:t>
      </w:r>
    </w:p>
    <w:p w14:paraId="03A4EC18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6902098B">
      <w:pPr>
        <w:widowControl/>
        <w:ind w:left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一、文化：斯特拉斯堡，阿尔萨斯…</w:t>
      </w:r>
    </w:p>
    <w:p w14:paraId="0E34F583">
      <w:pPr>
        <w:widowControl/>
        <w:ind w:left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二、阅读：何为朋友？</w:t>
      </w:r>
    </w:p>
    <w:p w14:paraId="20BB582A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4E32183A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预习下节课内容</w:t>
      </w:r>
    </w:p>
    <w:p w14:paraId="72D84228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第二十二章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L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on vingt-deux</w:t>
      </w:r>
    </w:p>
    <w:p w14:paraId="6D6EF79B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551DF7E8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一、改变话题</w:t>
      </w:r>
    </w:p>
    <w:p w14:paraId="79BC7032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二、表达确定</w:t>
      </w:r>
    </w:p>
    <w:p w14:paraId="4D29241A">
      <w:pPr>
        <w:widowControl/>
        <w:ind w:left="420"/>
        <w:jc w:val="left"/>
        <w:rPr>
          <w:rFonts w:ascii="宋体" w:hAnsi="宋体" w:eastAsia="宋体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三、语法：间接引语以及动词配合，现在分词，副动词</w:t>
      </w:r>
    </w:p>
    <w:p w14:paraId="3E5ACFB0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3CDE6F66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Grammaire 1 2 3 4 5</w:t>
      </w:r>
    </w:p>
    <w:p w14:paraId="3C647B70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第二十三章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vingt-trois</w:t>
      </w:r>
    </w:p>
    <w:p w14:paraId="75E05A4A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3AF4CA96">
      <w:pPr>
        <w:widowControl/>
        <w:ind w:left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一、结束一个对话</w:t>
      </w:r>
    </w:p>
    <w:p w14:paraId="5C0CA027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6B68D2D4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Communiquez 3 4</w:t>
      </w:r>
    </w:p>
    <w:p w14:paraId="2F6D06FA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第二十四章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vingt-quatre</w:t>
      </w:r>
    </w:p>
    <w:p w14:paraId="04B17752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273B37BE">
      <w:pPr>
        <w:widowControl/>
        <w:ind w:left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一、文化：布列塔尼</w:t>
      </w:r>
    </w:p>
    <w:p w14:paraId="25D63B48">
      <w:pPr>
        <w:widowControl/>
        <w:ind w:left="42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二、文学：两个布列塔尼作家</w:t>
      </w:r>
    </w:p>
    <w:p w14:paraId="26AD0908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57404382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预习下节课内容</w:t>
      </w:r>
    </w:p>
    <w:p w14:paraId="576AB6A1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第二十五章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vingt-cinq</w:t>
      </w:r>
    </w:p>
    <w:p w14:paraId="33ED279D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2C1585CE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一、</w:t>
      </w:r>
      <w:r>
        <w:rPr>
          <w:rFonts w:ascii="Calibri" w:hAnsi="Calibri" w:eastAsia="宋体" w:cs="Times New Roman"/>
          <w:color w:val="000000"/>
          <w:szCs w:val="21"/>
        </w:rPr>
        <w:t>表示有兴趣</w:t>
      </w:r>
    </w:p>
    <w:p w14:paraId="50BB0C86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二、</w:t>
      </w:r>
      <w:r>
        <w:rPr>
          <w:rFonts w:ascii="Calibri" w:hAnsi="Calibri" w:eastAsia="宋体" w:cs="Times New Roman"/>
          <w:color w:val="000000"/>
          <w:szCs w:val="21"/>
        </w:rPr>
        <w:t>鼓励他人</w:t>
      </w:r>
    </w:p>
    <w:p w14:paraId="32DC3E9B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三、</w:t>
      </w:r>
      <w:r>
        <w:rPr>
          <w:rFonts w:ascii="Calibri" w:hAnsi="Calibri" w:eastAsia="宋体" w:cs="Times New Roman"/>
          <w:color w:val="000000"/>
          <w:szCs w:val="21"/>
        </w:rPr>
        <w:t>祝贺</w:t>
      </w:r>
    </w:p>
    <w:p w14:paraId="465A968D">
      <w:pPr>
        <w:adjustRightInd w:val="0"/>
        <w:snapToGrid w:val="0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四、</w:t>
      </w:r>
      <w:r>
        <w:rPr>
          <w:rFonts w:ascii="Calibri" w:hAnsi="Calibri" w:eastAsia="宋体" w:cs="Times New Roman"/>
          <w:color w:val="000000"/>
          <w:szCs w:val="21"/>
        </w:rPr>
        <w:t>语法：间接疑问句，间接引语中的命令句，</w:t>
      </w:r>
      <w:r>
        <w:rPr>
          <w:rFonts w:ascii="宋体" w:hAnsi="宋体" w:eastAsia="宋体" w:cs="Times New Roman"/>
          <w:color w:val="000000"/>
          <w:szCs w:val="21"/>
        </w:rPr>
        <w:t>demander à</w:t>
      </w:r>
      <w:r>
        <w:rPr>
          <w:rFonts w:ascii="Calibri" w:hAnsi="Calibri" w:eastAsia="宋体" w:cs="Times New Roman"/>
          <w:color w:val="000000"/>
          <w:szCs w:val="21"/>
        </w:rPr>
        <w:t>，被动态</w:t>
      </w:r>
    </w:p>
    <w:p w14:paraId="1C4E7BB0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09EBC7F6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Grammaire 1 2 3 4 5 6</w:t>
      </w:r>
    </w:p>
    <w:p w14:paraId="3562E49C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第二十六章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vingt-six</w:t>
      </w:r>
    </w:p>
    <w:p w14:paraId="2DE91003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611806AC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一、别插手别人的事情</w:t>
      </w:r>
    </w:p>
    <w:p w14:paraId="71C4EE8A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二、阅读：说唱，万岁！</w:t>
      </w:r>
    </w:p>
    <w:p w14:paraId="2B002037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3EE0B007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Communiquez 3 4</w:t>
      </w:r>
    </w:p>
    <w:p w14:paraId="4CCDD269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第二十七章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vingt-sept</w:t>
      </w:r>
    </w:p>
    <w:p w14:paraId="0F0DE622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23424D9E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一、</w:t>
      </w:r>
      <w:r>
        <w:rPr>
          <w:rFonts w:ascii="Calibri" w:hAnsi="Calibri" w:eastAsia="宋体" w:cs="Times New Roman"/>
          <w:color w:val="000000"/>
          <w:szCs w:val="21"/>
        </w:rPr>
        <w:t>文化：蒙特利尔，魁北克</w:t>
      </w:r>
    </w:p>
    <w:p w14:paraId="41A860C5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二、</w:t>
      </w:r>
      <w:r>
        <w:rPr>
          <w:rFonts w:ascii="Calibri" w:hAnsi="Calibri" w:eastAsia="宋体" w:cs="Times New Roman"/>
          <w:color w:val="000000"/>
          <w:szCs w:val="21"/>
        </w:rPr>
        <w:t>写作：你所在城市的一个景点</w:t>
      </w:r>
    </w:p>
    <w:p w14:paraId="73952C25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3CCB8BB1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预习下节课内容</w:t>
      </w:r>
    </w:p>
    <w:p w14:paraId="67BACFB4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第二十八章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vingt-huit</w:t>
      </w:r>
    </w:p>
    <w:p w14:paraId="04BF1465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317E1EAA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一、表达遗憾</w:t>
      </w:r>
    </w:p>
    <w:p w14:paraId="4E6B2D88">
      <w:pPr>
        <w:adjustRightInd w:val="0"/>
        <w:snapToGrid w:val="0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二、语法：愈过去时，比较，不定式过去时</w:t>
      </w:r>
    </w:p>
    <w:p w14:paraId="00BEA914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2D69229C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Grammaire 1 2 3 4 5</w:t>
      </w:r>
    </w:p>
    <w:p w14:paraId="356172F2">
      <w:pPr>
        <w:widowControl/>
        <w:spacing w:before="156" w:beforeLines="50" w:after="156" w:afterLines="50"/>
        <w:ind w:firstLine="48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第二十九章 L</w:t>
      </w:r>
      <w:r>
        <w:rPr>
          <w:rFonts w:ascii="黑体" w:hAnsi="黑体" w:eastAsia="黑体" w:cs="Times New Roman"/>
          <w:b/>
          <w:sz w:val="24"/>
          <w:szCs w:val="24"/>
        </w:rPr>
        <w:t>e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on vingt-neuf</w:t>
      </w:r>
    </w:p>
    <w:p w14:paraId="76837CB3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</w:p>
    <w:p w14:paraId="2D53CBDD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一、</w:t>
      </w:r>
      <w:r>
        <w:rPr>
          <w:rFonts w:ascii="Calibri" w:hAnsi="Calibri" w:eastAsia="宋体" w:cs="Times New Roman"/>
          <w:color w:val="000000"/>
          <w:szCs w:val="21"/>
        </w:rPr>
        <w:t>提出建议</w:t>
      </w:r>
    </w:p>
    <w:p w14:paraId="02C09DA7">
      <w:pPr>
        <w:adjustRightInd w:val="0"/>
        <w:snapToGrid w:val="0"/>
        <w:ind w:firstLine="420" w:firstLineChars="200"/>
        <w:rPr>
          <w:rFonts w:ascii="Calibri" w:hAnsi="Calibri" w:eastAsia="宋体" w:cs="Times New Roman"/>
          <w:color w:val="000000"/>
          <w:szCs w:val="21"/>
        </w:rPr>
      </w:pPr>
      <w:r>
        <w:rPr>
          <w:rFonts w:hint="eastAsia" w:ascii="Calibri" w:hAnsi="Calibri" w:eastAsia="宋体" w:cs="Times New Roman"/>
          <w:color w:val="000000"/>
          <w:szCs w:val="21"/>
        </w:rPr>
        <w:t>二、</w:t>
      </w:r>
      <w:r>
        <w:rPr>
          <w:rFonts w:ascii="Calibri" w:hAnsi="Calibri" w:eastAsia="宋体" w:cs="Times New Roman"/>
          <w:color w:val="000000"/>
          <w:szCs w:val="21"/>
        </w:rPr>
        <w:t>阅读：别墅</w:t>
      </w:r>
    </w:p>
    <w:p w14:paraId="326CC445">
      <w:pPr>
        <w:widowControl/>
        <w:spacing w:before="156" w:before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11B2522E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Communiquez 3 4</w:t>
      </w:r>
    </w:p>
    <w:p w14:paraId="7D8BB43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738D2114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0A53812F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83AF59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58EBE53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CC631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336ED6AF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08F9E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60D37BF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treize</w:t>
            </w:r>
          </w:p>
        </w:tc>
        <w:tc>
          <w:tcPr>
            <w:tcW w:w="2766" w:type="dxa"/>
            <w:vAlign w:val="center"/>
          </w:tcPr>
          <w:p w14:paraId="2C46CE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4F09856F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E2EBAC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21C0883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quatorze</w:t>
            </w:r>
          </w:p>
        </w:tc>
        <w:tc>
          <w:tcPr>
            <w:tcW w:w="2766" w:type="dxa"/>
            <w:vAlign w:val="center"/>
          </w:tcPr>
          <w:p w14:paraId="723750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 w14:paraId="0F81B2B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B50DAF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27EC7E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quinze</w:t>
            </w:r>
          </w:p>
        </w:tc>
        <w:tc>
          <w:tcPr>
            <w:tcW w:w="2766" w:type="dxa"/>
            <w:vAlign w:val="center"/>
          </w:tcPr>
          <w:p w14:paraId="36AFC0B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92B0171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DB27FE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765" w:type="dxa"/>
            <w:vAlign w:val="center"/>
          </w:tcPr>
          <w:p w14:paraId="43E0D3A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seize</w:t>
            </w:r>
          </w:p>
        </w:tc>
        <w:tc>
          <w:tcPr>
            <w:tcW w:w="2766" w:type="dxa"/>
            <w:vAlign w:val="center"/>
          </w:tcPr>
          <w:p w14:paraId="23254DE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37D0F0B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1E33A6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2765" w:type="dxa"/>
            <w:vAlign w:val="center"/>
          </w:tcPr>
          <w:p w14:paraId="75450A1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dix-sept</w:t>
            </w:r>
          </w:p>
        </w:tc>
        <w:tc>
          <w:tcPr>
            <w:tcW w:w="2766" w:type="dxa"/>
            <w:vAlign w:val="center"/>
          </w:tcPr>
          <w:p w14:paraId="749FF6E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0F7E1AF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5AE5C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第十八章</w:t>
            </w:r>
          </w:p>
        </w:tc>
        <w:tc>
          <w:tcPr>
            <w:tcW w:w="2765" w:type="dxa"/>
            <w:vAlign w:val="center"/>
          </w:tcPr>
          <w:p w14:paraId="6D2E5F3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dix-huit</w:t>
            </w:r>
          </w:p>
        </w:tc>
        <w:tc>
          <w:tcPr>
            <w:tcW w:w="2766" w:type="dxa"/>
            <w:vAlign w:val="center"/>
          </w:tcPr>
          <w:p w14:paraId="27075FE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E7BEC5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099E79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第十九章</w:t>
            </w:r>
          </w:p>
        </w:tc>
        <w:tc>
          <w:tcPr>
            <w:tcW w:w="2765" w:type="dxa"/>
            <w:vAlign w:val="center"/>
          </w:tcPr>
          <w:p w14:paraId="4B557C3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dix-neuf</w:t>
            </w:r>
          </w:p>
        </w:tc>
        <w:tc>
          <w:tcPr>
            <w:tcW w:w="2766" w:type="dxa"/>
            <w:vAlign w:val="center"/>
          </w:tcPr>
          <w:p w14:paraId="298B42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46CAB57D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326104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第二十章</w:t>
            </w:r>
          </w:p>
        </w:tc>
        <w:tc>
          <w:tcPr>
            <w:tcW w:w="2765" w:type="dxa"/>
            <w:vAlign w:val="center"/>
          </w:tcPr>
          <w:p w14:paraId="764A813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vingt</w:t>
            </w:r>
          </w:p>
        </w:tc>
        <w:tc>
          <w:tcPr>
            <w:tcW w:w="2766" w:type="dxa"/>
            <w:vAlign w:val="center"/>
          </w:tcPr>
          <w:p w14:paraId="234C725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4D8D4672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9A1665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第二十一章</w:t>
            </w:r>
          </w:p>
        </w:tc>
        <w:tc>
          <w:tcPr>
            <w:tcW w:w="2765" w:type="dxa"/>
            <w:vAlign w:val="center"/>
          </w:tcPr>
          <w:p w14:paraId="6FE0AB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 et une</w:t>
            </w:r>
          </w:p>
        </w:tc>
        <w:tc>
          <w:tcPr>
            <w:tcW w:w="2766" w:type="dxa"/>
            <w:vAlign w:val="center"/>
          </w:tcPr>
          <w:p w14:paraId="1911739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37F43B2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FD4594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第二十二章</w:t>
            </w:r>
          </w:p>
        </w:tc>
        <w:tc>
          <w:tcPr>
            <w:tcW w:w="2765" w:type="dxa"/>
            <w:vAlign w:val="center"/>
          </w:tcPr>
          <w:p w14:paraId="5071FF2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vingt-deux</w:t>
            </w:r>
          </w:p>
        </w:tc>
        <w:tc>
          <w:tcPr>
            <w:tcW w:w="2766" w:type="dxa"/>
            <w:vAlign w:val="center"/>
          </w:tcPr>
          <w:p w14:paraId="4055D5B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E6415D1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F8D013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第二十三章</w:t>
            </w:r>
          </w:p>
        </w:tc>
        <w:tc>
          <w:tcPr>
            <w:tcW w:w="2765" w:type="dxa"/>
            <w:vAlign w:val="center"/>
          </w:tcPr>
          <w:p w14:paraId="4F742C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vingt-trois</w:t>
            </w:r>
          </w:p>
        </w:tc>
        <w:tc>
          <w:tcPr>
            <w:tcW w:w="2766" w:type="dxa"/>
            <w:vAlign w:val="center"/>
          </w:tcPr>
          <w:p w14:paraId="36CE2B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39970678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0A5AF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第二十四章</w:t>
            </w:r>
          </w:p>
        </w:tc>
        <w:tc>
          <w:tcPr>
            <w:tcW w:w="2765" w:type="dxa"/>
            <w:vAlign w:val="center"/>
          </w:tcPr>
          <w:p w14:paraId="6F38203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vingt-quatre</w:t>
            </w:r>
          </w:p>
        </w:tc>
        <w:tc>
          <w:tcPr>
            <w:tcW w:w="2766" w:type="dxa"/>
            <w:vAlign w:val="center"/>
          </w:tcPr>
          <w:p w14:paraId="5738D02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D2FB9B5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1E0054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第二十五章</w:t>
            </w:r>
          </w:p>
        </w:tc>
        <w:tc>
          <w:tcPr>
            <w:tcW w:w="2765" w:type="dxa"/>
            <w:vAlign w:val="center"/>
          </w:tcPr>
          <w:p w14:paraId="3A3867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vingt-cinq</w:t>
            </w:r>
          </w:p>
        </w:tc>
        <w:tc>
          <w:tcPr>
            <w:tcW w:w="2766" w:type="dxa"/>
            <w:vAlign w:val="center"/>
          </w:tcPr>
          <w:p w14:paraId="20F1895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C144662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AF4376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第二十六章</w:t>
            </w:r>
          </w:p>
        </w:tc>
        <w:tc>
          <w:tcPr>
            <w:tcW w:w="2765" w:type="dxa"/>
            <w:vAlign w:val="center"/>
          </w:tcPr>
          <w:p w14:paraId="65FF7FB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vingt-six</w:t>
            </w:r>
          </w:p>
        </w:tc>
        <w:tc>
          <w:tcPr>
            <w:tcW w:w="2766" w:type="dxa"/>
            <w:vAlign w:val="center"/>
          </w:tcPr>
          <w:p w14:paraId="15D3093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2A75CF4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0DD168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第二十七章</w:t>
            </w:r>
          </w:p>
        </w:tc>
        <w:tc>
          <w:tcPr>
            <w:tcW w:w="2765" w:type="dxa"/>
            <w:vAlign w:val="center"/>
          </w:tcPr>
          <w:p w14:paraId="0CB6660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vingt-sept</w:t>
            </w:r>
          </w:p>
        </w:tc>
        <w:tc>
          <w:tcPr>
            <w:tcW w:w="2766" w:type="dxa"/>
            <w:vAlign w:val="center"/>
          </w:tcPr>
          <w:p w14:paraId="4C75EA3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C55ABC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9A5EB1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第二十八章</w:t>
            </w:r>
          </w:p>
        </w:tc>
        <w:tc>
          <w:tcPr>
            <w:tcW w:w="2765" w:type="dxa"/>
            <w:vAlign w:val="center"/>
          </w:tcPr>
          <w:p w14:paraId="7D387A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vingt-huit</w:t>
            </w:r>
          </w:p>
        </w:tc>
        <w:tc>
          <w:tcPr>
            <w:tcW w:w="2766" w:type="dxa"/>
            <w:vAlign w:val="center"/>
          </w:tcPr>
          <w:p w14:paraId="7ACB82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5A43672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DAB40A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第二十九章</w:t>
            </w:r>
          </w:p>
        </w:tc>
        <w:tc>
          <w:tcPr>
            <w:tcW w:w="2765" w:type="dxa"/>
            <w:vAlign w:val="center"/>
          </w:tcPr>
          <w:p w14:paraId="1DDC981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ving-neuf</w:t>
            </w:r>
          </w:p>
        </w:tc>
        <w:tc>
          <w:tcPr>
            <w:tcW w:w="2766" w:type="dxa"/>
            <w:vAlign w:val="center"/>
          </w:tcPr>
          <w:p w14:paraId="32C39E7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 w14:paraId="43C10758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5F438B84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849"/>
        <w:gridCol w:w="1699"/>
        <w:gridCol w:w="1476"/>
        <w:gridCol w:w="1143"/>
        <w:gridCol w:w="1383"/>
        <w:gridCol w:w="902"/>
      </w:tblGrid>
      <w:tr w14:paraId="5D11B3AD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3D4C2AE8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49" w:type="dxa"/>
            <w:vAlign w:val="center"/>
          </w:tcPr>
          <w:p w14:paraId="2E16EBF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699" w:type="dxa"/>
            <w:vAlign w:val="center"/>
          </w:tcPr>
          <w:p w14:paraId="40670280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476" w:type="dxa"/>
            <w:vAlign w:val="center"/>
          </w:tcPr>
          <w:p w14:paraId="4AD7C2F0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3" w:type="dxa"/>
            <w:vAlign w:val="center"/>
          </w:tcPr>
          <w:p w14:paraId="525E543E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3" w:type="dxa"/>
            <w:vAlign w:val="center"/>
          </w:tcPr>
          <w:p w14:paraId="07D2AD50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2" w:type="dxa"/>
            <w:vAlign w:val="center"/>
          </w:tcPr>
          <w:p w14:paraId="384F80E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16F620A0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0B26DACD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</w:p>
        </w:tc>
        <w:tc>
          <w:tcPr>
            <w:tcW w:w="849" w:type="dxa"/>
            <w:vAlign w:val="center"/>
          </w:tcPr>
          <w:p w14:paraId="6CA4B3F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05995EE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treize</w:t>
            </w:r>
          </w:p>
        </w:tc>
        <w:tc>
          <w:tcPr>
            <w:tcW w:w="1476" w:type="dxa"/>
            <w:vAlign w:val="center"/>
          </w:tcPr>
          <w:p w14:paraId="67DB938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指责他人</w:t>
            </w:r>
          </w:p>
        </w:tc>
        <w:tc>
          <w:tcPr>
            <w:tcW w:w="1143" w:type="dxa"/>
            <w:vAlign w:val="center"/>
          </w:tcPr>
          <w:p w14:paraId="6DB744F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2ADD5D9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95B798B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155272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056FBC8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7B4E5B02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  <w:tc>
          <w:tcPr>
            <w:tcW w:w="849" w:type="dxa"/>
            <w:vAlign w:val="center"/>
          </w:tcPr>
          <w:p w14:paraId="080667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78BC374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quatorze</w:t>
            </w:r>
          </w:p>
        </w:tc>
        <w:tc>
          <w:tcPr>
            <w:tcW w:w="1476" w:type="dxa"/>
            <w:vAlign w:val="center"/>
          </w:tcPr>
          <w:p w14:paraId="67A203C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表达祝愿</w:t>
            </w:r>
          </w:p>
        </w:tc>
        <w:tc>
          <w:tcPr>
            <w:tcW w:w="1143" w:type="dxa"/>
            <w:vAlign w:val="center"/>
          </w:tcPr>
          <w:p w14:paraId="4D77A05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014FFD0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74AAEF4C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5CAB3D2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3F30EA6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1405FAFB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</w:t>
            </w:r>
          </w:p>
        </w:tc>
        <w:tc>
          <w:tcPr>
            <w:tcW w:w="849" w:type="dxa"/>
            <w:vAlign w:val="center"/>
          </w:tcPr>
          <w:p w14:paraId="447A220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1C79801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quinze</w:t>
            </w:r>
          </w:p>
        </w:tc>
        <w:tc>
          <w:tcPr>
            <w:tcW w:w="1476" w:type="dxa"/>
            <w:vAlign w:val="center"/>
          </w:tcPr>
          <w:p w14:paraId="7C3439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蔚蓝海岸、加缪</w:t>
            </w:r>
          </w:p>
        </w:tc>
        <w:tc>
          <w:tcPr>
            <w:tcW w:w="1143" w:type="dxa"/>
            <w:vAlign w:val="center"/>
          </w:tcPr>
          <w:p w14:paraId="7A8C6F4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7895DEB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88E1049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6D13997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A248E17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3E85B492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849" w:type="dxa"/>
            <w:vAlign w:val="center"/>
          </w:tcPr>
          <w:p w14:paraId="2A6D1CB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36F3132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seize</w:t>
            </w:r>
          </w:p>
        </w:tc>
        <w:tc>
          <w:tcPr>
            <w:tcW w:w="1476" w:type="dxa"/>
            <w:vAlign w:val="center"/>
          </w:tcPr>
          <w:p w14:paraId="2632E9B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要求帮助</w:t>
            </w:r>
          </w:p>
        </w:tc>
        <w:tc>
          <w:tcPr>
            <w:tcW w:w="1143" w:type="dxa"/>
            <w:vAlign w:val="center"/>
          </w:tcPr>
          <w:p w14:paraId="0A3C88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4F3EA5B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31673305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5F1D17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E9621DB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676BFFCA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5</w:t>
            </w:r>
          </w:p>
        </w:tc>
        <w:tc>
          <w:tcPr>
            <w:tcW w:w="849" w:type="dxa"/>
            <w:vAlign w:val="center"/>
          </w:tcPr>
          <w:p w14:paraId="3540D6E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138132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dix-sept</w:t>
            </w:r>
          </w:p>
        </w:tc>
        <w:tc>
          <w:tcPr>
            <w:tcW w:w="1476" w:type="dxa"/>
            <w:vAlign w:val="center"/>
          </w:tcPr>
          <w:p w14:paraId="5E824A7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邀请</w:t>
            </w:r>
          </w:p>
        </w:tc>
        <w:tc>
          <w:tcPr>
            <w:tcW w:w="1143" w:type="dxa"/>
            <w:vAlign w:val="center"/>
          </w:tcPr>
          <w:p w14:paraId="476F06A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09600014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42EFC1F4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02F07A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ED27DB0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409DC27A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6</w:t>
            </w:r>
          </w:p>
        </w:tc>
        <w:tc>
          <w:tcPr>
            <w:tcW w:w="849" w:type="dxa"/>
            <w:vAlign w:val="center"/>
          </w:tcPr>
          <w:p w14:paraId="7F3A8CB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04357D3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dix-huit</w:t>
            </w:r>
          </w:p>
        </w:tc>
        <w:tc>
          <w:tcPr>
            <w:tcW w:w="1476" w:type="dxa"/>
            <w:vAlign w:val="center"/>
          </w:tcPr>
          <w:p w14:paraId="1311389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名胜与传记</w:t>
            </w:r>
          </w:p>
        </w:tc>
        <w:tc>
          <w:tcPr>
            <w:tcW w:w="1143" w:type="dxa"/>
            <w:vAlign w:val="center"/>
          </w:tcPr>
          <w:p w14:paraId="16B4C6A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3034FD2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7BE0CC3B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7A07F8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D00E45C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0C2C87CE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</w:t>
            </w:r>
          </w:p>
        </w:tc>
        <w:tc>
          <w:tcPr>
            <w:tcW w:w="849" w:type="dxa"/>
            <w:vAlign w:val="center"/>
          </w:tcPr>
          <w:p w14:paraId="2362AC8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1B815D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dix-neuf</w:t>
            </w:r>
          </w:p>
        </w:tc>
        <w:tc>
          <w:tcPr>
            <w:tcW w:w="1476" w:type="dxa"/>
            <w:vAlign w:val="center"/>
          </w:tcPr>
          <w:p w14:paraId="4CEC187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表达建议、下馆子</w:t>
            </w:r>
          </w:p>
        </w:tc>
        <w:tc>
          <w:tcPr>
            <w:tcW w:w="1143" w:type="dxa"/>
            <w:vAlign w:val="center"/>
          </w:tcPr>
          <w:p w14:paraId="1874675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44ACB4E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30A56613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5449C46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B63ACCF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16456CB3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849" w:type="dxa"/>
            <w:vAlign w:val="center"/>
          </w:tcPr>
          <w:p w14:paraId="0067C94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28A054E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  <w:lang w:val="fr-CA"/>
              </w:rPr>
              <w:t>eçon vingt</w:t>
            </w:r>
          </w:p>
        </w:tc>
        <w:tc>
          <w:tcPr>
            <w:tcW w:w="1476" w:type="dxa"/>
            <w:vAlign w:val="center"/>
          </w:tcPr>
          <w:p w14:paraId="29E5BB5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离开餐馆</w:t>
            </w:r>
          </w:p>
        </w:tc>
        <w:tc>
          <w:tcPr>
            <w:tcW w:w="1143" w:type="dxa"/>
            <w:vAlign w:val="center"/>
          </w:tcPr>
          <w:p w14:paraId="6D5010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339F9F6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DB2B319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1B8D6B8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AE557A3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59E93799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9</w:t>
            </w:r>
          </w:p>
        </w:tc>
        <w:tc>
          <w:tcPr>
            <w:tcW w:w="849" w:type="dxa"/>
            <w:vAlign w:val="center"/>
          </w:tcPr>
          <w:p w14:paraId="6306BD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149FC3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 et une</w:t>
            </w:r>
          </w:p>
        </w:tc>
        <w:tc>
          <w:tcPr>
            <w:tcW w:w="1476" w:type="dxa"/>
            <w:vAlign w:val="center"/>
          </w:tcPr>
          <w:p w14:paraId="5019A2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斯特拉斯堡、阿尔萨斯</w:t>
            </w:r>
          </w:p>
        </w:tc>
        <w:tc>
          <w:tcPr>
            <w:tcW w:w="1143" w:type="dxa"/>
            <w:vAlign w:val="center"/>
          </w:tcPr>
          <w:p w14:paraId="028ABA5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1F1AF68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870032A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2C36519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1BB9B13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0B5FE820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  <w:tc>
          <w:tcPr>
            <w:tcW w:w="849" w:type="dxa"/>
            <w:vAlign w:val="center"/>
          </w:tcPr>
          <w:p w14:paraId="7958DA4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60BAE10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vingt-deux</w:t>
            </w:r>
          </w:p>
        </w:tc>
        <w:tc>
          <w:tcPr>
            <w:tcW w:w="1476" w:type="dxa"/>
            <w:vAlign w:val="center"/>
          </w:tcPr>
          <w:p w14:paraId="7C56F6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改变话题、表达确定</w:t>
            </w:r>
          </w:p>
        </w:tc>
        <w:tc>
          <w:tcPr>
            <w:tcW w:w="1143" w:type="dxa"/>
            <w:vAlign w:val="center"/>
          </w:tcPr>
          <w:p w14:paraId="2F3962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478E835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4150A845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4E5443D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C3B9CE3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6538E711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11</w:t>
            </w:r>
          </w:p>
        </w:tc>
        <w:tc>
          <w:tcPr>
            <w:tcW w:w="849" w:type="dxa"/>
            <w:vAlign w:val="center"/>
          </w:tcPr>
          <w:p w14:paraId="530555B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0EB6EFF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vingt-trois</w:t>
            </w:r>
          </w:p>
        </w:tc>
        <w:tc>
          <w:tcPr>
            <w:tcW w:w="1476" w:type="dxa"/>
            <w:vAlign w:val="center"/>
          </w:tcPr>
          <w:p w14:paraId="1B212C2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fr-CA"/>
              </w:rPr>
            </w:pPr>
            <w:r>
              <w:rPr>
                <w:rFonts w:hint="eastAsia" w:ascii="宋体" w:hAnsi="宋体" w:eastAsia="宋体"/>
                <w:szCs w:val="21"/>
                <w:lang w:val="fr-CA"/>
              </w:rPr>
              <w:t>结束一个对话</w:t>
            </w:r>
          </w:p>
        </w:tc>
        <w:tc>
          <w:tcPr>
            <w:tcW w:w="1143" w:type="dxa"/>
            <w:vAlign w:val="center"/>
          </w:tcPr>
          <w:p w14:paraId="62A6AD7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2F590F3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6A95CD1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2A5A7B5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F5AEA8F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45FEA53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849" w:type="dxa"/>
            <w:vAlign w:val="center"/>
          </w:tcPr>
          <w:p w14:paraId="551495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11C0F89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vingt-quatre</w:t>
            </w:r>
          </w:p>
        </w:tc>
        <w:tc>
          <w:tcPr>
            <w:tcW w:w="1476" w:type="dxa"/>
            <w:vAlign w:val="center"/>
          </w:tcPr>
          <w:p w14:paraId="330E2B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布列塔尼</w:t>
            </w:r>
          </w:p>
        </w:tc>
        <w:tc>
          <w:tcPr>
            <w:tcW w:w="1143" w:type="dxa"/>
            <w:vAlign w:val="center"/>
          </w:tcPr>
          <w:p w14:paraId="41AF404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7B40C95D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7F79E71F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02A497A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D184B7E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5DE56AA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49" w:type="dxa"/>
            <w:vAlign w:val="center"/>
          </w:tcPr>
          <w:p w14:paraId="453A9A5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74408CA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vingt-cinq</w:t>
            </w:r>
          </w:p>
        </w:tc>
        <w:tc>
          <w:tcPr>
            <w:tcW w:w="1476" w:type="dxa"/>
            <w:vAlign w:val="center"/>
          </w:tcPr>
          <w:p w14:paraId="6B606B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表达兴趣、鼓励他人</w:t>
            </w:r>
          </w:p>
        </w:tc>
        <w:tc>
          <w:tcPr>
            <w:tcW w:w="1143" w:type="dxa"/>
            <w:vAlign w:val="center"/>
          </w:tcPr>
          <w:p w14:paraId="6D17A42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3F00568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B04A9CD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4CF2E3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D31EC0C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4814D53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49" w:type="dxa"/>
            <w:vAlign w:val="center"/>
          </w:tcPr>
          <w:p w14:paraId="6244CB3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0435D3B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vingt-six</w:t>
            </w:r>
          </w:p>
        </w:tc>
        <w:tc>
          <w:tcPr>
            <w:tcW w:w="1476" w:type="dxa"/>
            <w:vAlign w:val="center"/>
          </w:tcPr>
          <w:p w14:paraId="200773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别插手别人的事情</w:t>
            </w:r>
          </w:p>
        </w:tc>
        <w:tc>
          <w:tcPr>
            <w:tcW w:w="1143" w:type="dxa"/>
            <w:vAlign w:val="center"/>
          </w:tcPr>
          <w:p w14:paraId="58E646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1534DA0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79D8481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60F11E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490967A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1F395A1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49" w:type="dxa"/>
            <w:vAlign w:val="center"/>
          </w:tcPr>
          <w:p w14:paraId="76429E2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74BAA1B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vingt-sept</w:t>
            </w:r>
          </w:p>
        </w:tc>
        <w:tc>
          <w:tcPr>
            <w:tcW w:w="1476" w:type="dxa"/>
            <w:vAlign w:val="center"/>
          </w:tcPr>
          <w:p w14:paraId="36DB28C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蒙特利尓，魁北克</w:t>
            </w:r>
          </w:p>
        </w:tc>
        <w:tc>
          <w:tcPr>
            <w:tcW w:w="1143" w:type="dxa"/>
            <w:vAlign w:val="center"/>
          </w:tcPr>
          <w:p w14:paraId="10B8036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7E68621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587B8A4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42C32C8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78FE6AE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49E9B92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49" w:type="dxa"/>
            <w:vAlign w:val="center"/>
          </w:tcPr>
          <w:p w14:paraId="26722B6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04F6B98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vingt-huit</w:t>
            </w:r>
          </w:p>
        </w:tc>
        <w:tc>
          <w:tcPr>
            <w:tcW w:w="1476" w:type="dxa"/>
            <w:vAlign w:val="center"/>
          </w:tcPr>
          <w:p w14:paraId="0839082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表达遗憾</w:t>
            </w:r>
          </w:p>
        </w:tc>
        <w:tc>
          <w:tcPr>
            <w:tcW w:w="1143" w:type="dxa"/>
            <w:vAlign w:val="center"/>
          </w:tcPr>
          <w:p w14:paraId="0EF98C6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168CA1B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C24AFD7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167A94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9DDF387">
        <w:trPr>
          <w:trHeight w:val="340" w:hRule="atLeast"/>
          <w:jc w:val="center"/>
        </w:trPr>
        <w:tc>
          <w:tcPr>
            <w:tcW w:w="844" w:type="dxa"/>
            <w:vAlign w:val="center"/>
          </w:tcPr>
          <w:p w14:paraId="6691A7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49" w:type="dxa"/>
            <w:vAlign w:val="center"/>
          </w:tcPr>
          <w:p w14:paraId="7CD306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46B50C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ving-neuf</w:t>
            </w:r>
          </w:p>
        </w:tc>
        <w:tc>
          <w:tcPr>
            <w:tcW w:w="1476" w:type="dxa"/>
            <w:vAlign w:val="center"/>
          </w:tcPr>
          <w:p w14:paraId="2AA3933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提出建议</w:t>
            </w:r>
          </w:p>
        </w:tc>
        <w:tc>
          <w:tcPr>
            <w:tcW w:w="1143" w:type="dxa"/>
            <w:vAlign w:val="center"/>
          </w:tcPr>
          <w:p w14:paraId="6054A0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383" w:type="dxa"/>
            <w:vAlign w:val="center"/>
          </w:tcPr>
          <w:p w14:paraId="29AC3B58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4F6D5883"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2" w:type="dxa"/>
            <w:vAlign w:val="center"/>
          </w:tcPr>
          <w:p w14:paraId="30E986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41A5DD36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13243CB5">
      <w:pPr>
        <w:widowControl/>
        <w:spacing w:before="156" w:beforeLines="50" w:after="156" w:afterLines="50"/>
        <w:jc w:val="left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卡佩勒，吉东著，吴云凤，胡瑜编译，《走遍法国》（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1下），外语教学与研究出版社，2006年</w:t>
      </w:r>
    </w:p>
    <w:p w14:paraId="7039A84B">
      <w:pPr>
        <w:widowControl/>
        <w:spacing w:before="156" w:beforeLines="50" w:after="156" w:afterLines="50"/>
        <w:jc w:val="left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卡佩勒，吉东著，祁一舟，周志成编译，《走遍法国》（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2），外语教学与研究出版社，2007年</w:t>
      </w:r>
    </w:p>
    <w:p w14:paraId="6EFA3C74">
      <w:pPr>
        <w:widowControl/>
        <w:spacing w:before="156" w:beforeLines="50" w:after="156" w:afterLines="50"/>
        <w:jc w:val="left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3. 马晓宏 林孝煜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编著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《法语2修订本》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外语教学与研究出版社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2019年</w:t>
      </w:r>
    </w:p>
    <w:p w14:paraId="10EE2E0C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王文新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米盖勒 编著，《法语交际口语渐进 中级》，上海译文出版社，2005年</w:t>
      </w:r>
      <w:r>
        <w:rPr>
          <w:rFonts w:hint="eastAsia" w:ascii="宋体" w:hAnsi="宋体" w:eastAsia="宋体"/>
          <w:color w:val="FF0000"/>
        </w:rPr>
        <w:t xml:space="preserve"> </w:t>
      </w:r>
      <w:r>
        <w:rPr>
          <w:rFonts w:ascii="宋体" w:hAnsi="宋体" w:eastAsia="宋体"/>
          <w:color w:val="FF0000"/>
        </w:rPr>
        <w:t xml:space="preserve"> 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</w:t>
      </w:r>
    </w:p>
    <w:p w14:paraId="1C69383C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 w14:paraId="0B9F2047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并有机结合讨论法、练习法等教学方法。采取教师与学生互动、教学相长的方式：课前要求学生预习相关内容，把握要点难点；上课时教师讲授，学生参与；课下要求学生做好相关作业和练习，复述或评论课文。</w:t>
      </w:r>
    </w:p>
    <w:p w14:paraId="72A60C65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14:paraId="67367F44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1) </w:t>
      </w: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</w:t>
      </w:r>
    </w:p>
    <w:p w14:paraId="30BD4838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</w:t>
      </w: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</w:t>
      </w:r>
    </w:p>
    <w:p w14:paraId="68885120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3) </w:t>
      </w:r>
      <w:r>
        <w:rPr>
          <w:rFonts w:hint="eastAsia" w:ascii="宋体" w:hAnsi="宋体" w:eastAsia="宋体"/>
        </w:rPr>
        <w:t>练习法是学生在教师的指导下巩固知识、运用知识、形成技能技巧的方法。可分为以下几种：</w:t>
      </w:r>
    </w:p>
    <w:p w14:paraId="509D2F16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其一，语言的练习。包括口头语言和书面语言的练习，旨在培养学生的表达能力。</w:t>
      </w:r>
    </w:p>
    <w:p w14:paraId="39243F80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其二，解答问题的练习。包括口头和书面解答问题的练习，旨在培养学生运用知识解决问题的能力。</w:t>
      </w:r>
    </w:p>
    <w:p w14:paraId="3EA4E98B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其三，实际操作的练习。旨在形成操作技能，在技术性学科中占重要地位。</w:t>
      </w:r>
    </w:p>
    <w:p w14:paraId="57A03D61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395FA1CF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 w14:paraId="24CF476F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3827"/>
        <w:gridCol w:w="3163"/>
      </w:tblGrid>
      <w:tr w14:paraId="731F1E63">
        <w:trPr>
          <w:trHeight w:val="567" w:hRule="atLeast"/>
          <w:jc w:val="center"/>
        </w:trPr>
        <w:tc>
          <w:tcPr>
            <w:tcW w:w="1555" w:type="dxa"/>
            <w:vAlign w:val="center"/>
          </w:tcPr>
          <w:p w14:paraId="3EF440DF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27" w:type="dxa"/>
            <w:vAlign w:val="center"/>
          </w:tcPr>
          <w:p w14:paraId="3B6972CB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5765B009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0211A635">
        <w:trPr>
          <w:trHeight w:val="567" w:hRule="atLeast"/>
          <w:jc w:val="center"/>
        </w:trPr>
        <w:tc>
          <w:tcPr>
            <w:tcW w:w="1555" w:type="dxa"/>
            <w:vAlign w:val="center"/>
          </w:tcPr>
          <w:p w14:paraId="0BDDA2FF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27" w:type="dxa"/>
            <w:vAlign w:val="center"/>
          </w:tcPr>
          <w:p w14:paraId="50C2BAD2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法语综合知识</w:t>
            </w:r>
          </w:p>
        </w:tc>
        <w:tc>
          <w:tcPr>
            <w:tcW w:w="3163" w:type="dxa"/>
            <w:vAlign w:val="center"/>
          </w:tcPr>
          <w:p w14:paraId="5985EE3E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32A62439">
        <w:trPr>
          <w:trHeight w:val="567" w:hRule="atLeast"/>
          <w:jc w:val="center"/>
        </w:trPr>
        <w:tc>
          <w:tcPr>
            <w:tcW w:w="1555" w:type="dxa"/>
            <w:vAlign w:val="center"/>
          </w:tcPr>
          <w:p w14:paraId="7A21DF05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27" w:type="dxa"/>
            <w:vAlign w:val="center"/>
          </w:tcPr>
          <w:p w14:paraId="0075C3A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法语</w:t>
            </w:r>
            <w:r>
              <w:rPr>
                <w:rFonts w:hAnsi="宋体" w:cs="宋体"/>
                <w:b/>
              </w:rPr>
              <w:t>运用能力</w:t>
            </w:r>
          </w:p>
        </w:tc>
        <w:tc>
          <w:tcPr>
            <w:tcW w:w="3163" w:type="dxa"/>
            <w:vAlign w:val="center"/>
          </w:tcPr>
          <w:p w14:paraId="40DE7E7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57445045">
        <w:trPr>
          <w:trHeight w:val="567" w:hRule="atLeast"/>
          <w:jc w:val="center"/>
        </w:trPr>
        <w:tc>
          <w:tcPr>
            <w:tcW w:w="1555" w:type="dxa"/>
            <w:vAlign w:val="center"/>
          </w:tcPr>
          <w:p w14:paraId="2AC87C38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27" w:type="dxa"/>
            <w:vAlign w:val="center"/>
          </w:tcPr>
          <w:p w14:paraId="68523E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爱国情怀和</w:t>
            </w:r>
            <w:r>
              <w:rPr>
                <w:rFonts w:hAnsi="宋体" w:cs="宋体"/>
                <w:b/>
              </w:rPr>
              <w:t>跨文化交际能力</w:t>
            </w:r>
          </w:p>
        </w:tc>
        <w:tc>
          <w:tcPr>
            <w:tcW w:w="3163" w:type="dxa"/>
            <w:vAlign w:val="center"/>
          </w:tcPr>
          <w:p w14:paraId="3628D37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9983DFE">
        <w:trPr>
          <w:trHeight w:val="567" w:hRule="atLeast"/>
          <w:jc w:val="center"/>
        </w:trPr>
        <w:tc>
          <w:tcPr>
            <w:tcW w:w="1555" w:type="dxa"/>
            <w:vAlign w:val="center"/>
          </w:tcPr>
          <w:p w14:paraId="72C84613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3827" w:type="dxa"/>
            <w:vAlign w:val="center"/>
          </w:tcPr>
          <w:p w14:paraId="08352D09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思辨能力和自主学习能力</w:t>
            </w:r>
          </w:p>
        </w:tc>
        <w:tc>
          <w:tcPr>
            <w:tcW w:w="3163" w:type="dxa"/>
            <w:vAlign w:val="center"/>
          </w:tcPr>
          <w:p w14:paraId="7B0D558F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708F1A9A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 w14:paraId="3CFC8446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>1．评定方法</w:t>
      </w:r>
    </w:p>
    <w:p w14:paraId="3E6B54DC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采用形成性评价方式，关注学生课程目标达成情况，课程总成绩包括：（1）平时成绩（出席率、课堂表现、小组展示）20%；（2）期中考察（期中考试）40%；（3）期末考察（期末考试）40% 。</w:t>
      </w:r>
    </w:p>
    <w:p w14:paraId="36A3572F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 w14:paraId="3354890E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57D04A38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D1AB5E7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14C13444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2FEC3E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AE85C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4C4E1B3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B7738F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36AF01ED"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CBC2A12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9A6EBAE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AC1E7E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40%</w:t>
            </w:r>
          </w:p>
        </w:tc>
        <w:tc>
          <w:tcPr>
            <w:tcW w:w="1134" w:type="dxa"/>
            <w:vAlign w:val="center"/>
          </w:tcPr>
          <w:p w14:paraId="5D1AAF06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63B95E8E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（1）课程目标1达成度={0.2ｘ课程目标1平时成绩+0.4ｘ课程目标1期中成绩+0.4ｘ课程目标1期末成绩}/目标1总分。</w:t>
            </w:r>
          </w:p>
          <w:p w14:paraId="596D6492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 w14:paraId="54B81FF6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（3）课程目标达成度=课程目标1达成度+课程目标2达成度+课程目标3达成度。</w:t>
            </w:r>
          </w:p>
        </w:tc>
      </w:tr>
      <w:tr w14:paraId="6D16D754"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2E9A79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8CFBC3B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74CB86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40%</w:t>
            </w:r>
          </w:p>
        </w:tc>
        <w:tc>
          <w:tcPr>
            <w:tcW w:w="1134" w:type="dxa"/>
            <w:vAlign w:val="center"/>
          </w:tcPr>
          <w:p w14:paraId="2FB08DFA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23436F70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62A80B8D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04FA1D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A004D02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71D64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40%</w:t>
            </w:r>
          </w:p>
        </w:tc>
        <w:tc>
          <w:tcPr>
            <w:tcW w:w="1134" w:type="dxa"/>
            <w:vAlign w:val="center"/>
          </w:tcPr>
          <w:p w14:paraId="084F731A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6AFF63E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0421EF9A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3D0057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E6DF5D4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7C92D2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40%</w:t>
            </w:r>
          </w:p>
        </w:tc>
        <w:tc>
          <w:tcPr>
            <w:tcW w:w="1134" w:type="dxa"/>
            <w:vAlign w:val="center"/>
          </w:tcPr>
          <w:p w14:paraId="15193CBC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043BC5D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24F18B4A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674AE455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794D0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058CF9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C5656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4B78BEDF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266F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F3D9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AB9C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6AF3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B836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BE9E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3877031B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3F523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1123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3CD5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8B5B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0A9D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06DF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0B84DEAA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EF80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D05F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BD3F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06E4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3337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B4E3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577EE106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EE03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69CBC01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54211">
            <w:pPr>
              <w:spacing w:before="156" w:beforeLines="50" w:after="156" w:afterLines="50"/>
              <w:rPr>
                <w:rFonts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能够非常好地进一步掌握法语口语交际的高级词汇及地道表达；能非常好地熟悉法国人日常生活情境和文化信息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46EDA">
            <w:pPr>
              <w:spacing w:before="156" w:beforeLines="50" w:after="156" w:afterLines="50"/>
              <w:rPr>
                <w:rFonts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能够很好地进一步掌握法语口语交际的高级词汇及地道表达；能很好地熟悉法国人日常生活情境和文化信息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D7185">
            <w:pPr>
              <w:spacing w:before="156" w:beforeLines="50" w:after="156" w:afterLines="50"/>
              <w:rPr>
                <w:rFonts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能够较好地进一步掌握法语口语交际的高级词汇及地道表达；能较好地熟悉法国人日常生活情境和文化信息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8CA5D">
            <w:pPr>
              <w:spacing w:before="156" w:beforeLines="50" w:after="156" w:afterLines="50"/>
              <w:rPr>
                <w:rFonts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能够基本进一步掌握法语口语交际的高级词汇及地道表达；能基本熟悉法国人日常生活情境和文化信息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843D3">
            <w:pPr>
              <w:spacing w:before="156" w:beforeLines="50" w:after="156" w:afterLines="50"/>
              <w:rPr>
                <w:rFonts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0"/>
                <w14:textFill>
                  <w14:solidFill>
                    <w14:schemeClr w14:val="tx1"/>
                  </w14:solidFill>
                </w14:textFill>
              </w:rPr>
              <w:t>不能进一步掌握法语口语交际的高级词汇及地道表达；不能熟悉法国人日常生活情境和文化信息</w:t>
            </w:r>
          </w:p>
        </w:tc>
      </w:tr>
      <w:tr w14:paraId="1D959F83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B882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38F4473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D0883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能够非常好地复述所听内容的整体意思及细节重点；能非常好地使用正确的语音语调用法语准确有效地口头表达信息、观念等；能非常好地独立完成一般口译任务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C42EA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能够很好地复述所听内容的整体意思及细节重点；能很好地使用正确的语音语调用法语准确有效地口头表达信息、观念等；能很好地独立完成一般口译任务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FBCC3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能够较好地复述所听内容的整体意思及细节重点；能较好地使用正确的语音语调用法语准确有效地口头表达信息、观念等；能较好地独立完成一般口译任务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4FB1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能够基本复述所听内容的整体意思及细节重点；能基本使用正确的语音语调用法语准确有效地口头表达信息、观念等；能基本独立完成一般口译任务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324C0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不能复述所听内容的整体意思及细节重点；不能使用正确的语音语调用法语准确有效地口头表达信息、观念等；不能独立完成一般口译任务</w:t>
            </w:r>
          </w:p>
        </w:tc>
      </w:tr>
      <w:tr w14:paraId="6C836080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1C3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14E72EB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8BF36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能够非常好地在了解我国国情的基础上具有跨文化意识；能够非常好地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熟悉党和国家方针政策，理解中法文化的基本特点和异同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；能够非常好地借助法语口语进行有效的跨文化交际和沟通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C3715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能够很好地在了解我国国情的基础上具有跨文化意识；能够很好地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熟悉党和国家方针政策，理解中法文化的基本特点和异同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；能够很好地借助法语口语进行有效的跨文化交际和沟通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A10DF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能够较好地在了解我国国情的基础上具有跨文化意识；能够较好地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熟悉党和国家方针政策，理解中法文化的基本特点和异同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；能够较好地借助法语口语进行有效的跨文化交际和沟通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618BE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能够基本在了解我国国情的基础上具有跨文化意识；能够基本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熟悉党和国家方针政策，理解中法文化的基本特点和异同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；能够基本借助法语口语进行有效的跨文化交际和沟通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03A24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不能在了解我国国情的基础上具有跨文化意识；不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熟悉党和国家方针政策，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理解中法文化的基本特点和异同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；不能借助法语口语进行有效的跨文化交际和沟通</w:t>
            </w:r>
          </w:p>
        </w:tc>
      </w:tr>
      <w:tr w14:paraId="548A76AD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9FE2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0B379DC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D521B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能够非常好地做到勤学好问，谨慎判断，公正评价；能够非常好地做到经常反思，不断调整适合自己的学习方法；能够非常好地借助网络等工具搜集学习资料、信息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3BC15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能够很好地做到勤学好问，谨慎判断，公正评价；能够很好地做到经常反思，不断调整适合自己的学习方法；能够很好地借助网络等工具搜集学习资料、信息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36F95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能够较好地做到勤学好问，谨慎判断，公正评价；能够较好地做到经常反思，不断调整适合自己的学习方法；能够较好地借助网络等工具搜集学习资料、信息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C8DEE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能够基本做到勤学好问，谨慎判断，公正评价；能够基本做到经常反思，不断调整适合自己的学习方法；能够基本借助网络等工具搜集学习资料、信息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DC564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不能勤学好问，谨慎判断，公正评价；不能经常反思，不断调整适合自己的学习方法；不能借助网络等工具搜集学习资料、信息</w:t>
            </w:r>
          </w:p>
        </w:tc>
      </w:tr>
    </w:tbl>
    <w:p w14:paraId="5EF7B385">
      <w:pPr>
        <w:widowControl/>
        <w:jc w:val="left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panose1 w:val="02020503050405090304"/>
    <w:charset w:val="80"/>
    <w:family w:val="auto"/>
    <w:pitch w:val="default"/>
    <w:sig w:usb0="E0000AFF" w:usb1="0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8D28E0"/>
    <w:multiLevelType w:val="multilevel"/>
    <w:tmpl w:val="058D28E0"/>
    <w:lvl w:ilvl="0" w:tentative="0">
      <w:start w:val="1"/>
      <w:numFmt w:val="chineseCountingThousand"/>
      <w:lvlText w:val="%1、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FF21983"/>
    <w:multiLevelType w:val="multilevel"/>
    <w:tmpl w:val="2FF21983"/>
    <w:lvl w:ilvl="0" w:tentative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76A5"/>
    <w:rsid w:val="00022CBB"/>
    <w:rsid w:val="00053CB3"/>
    <w:rsid w:val="00077A5F"/>
    <w:rsid w:val="000A44AC"/>
    <w:rsid w:val="000C10F6"/>
    <w:rsid w:val="000F054A"/>
    <w:rsid w:val="000F0A08"/>
    <w:rsid w:val="000F3ABB"/>
    <w:rsid w:val="001154FB"/>
    <w:rsid w:val="0013282E"/>
    <w:rsid w:val="00143186"/>
    <w:rsid w:val="00167978"/>
    <w:rsid w:val="001B660B"/>
    <w:rsid w:val="001E5724"/>
    <w:rsid w:val="00200596"/>
    <w:rsid w:val="00242673"/>
    <w:rsid w:val="00254AA6"/>
    <w:rsid w:val="00285327"/>
    <w:rsid w:val="002A7568"/>
    <w:rsid w:val="00313A87"/>
    <w:rsid w:val="00322986"/>
    <w:rsid w:val="003277C5"/>
    <w:rsid w:val="0034254B"/>
    <w:rsid w:val="0038665C"/>
    <w:rsid w:val="003A06BE"/>
    <w:rsid w:val="003C1BEB"/>
    <w:rsid w:val="003E7897"/>
    <w:rsid w:val="003F6250"/>
    <w:rsid w:val="00403815"/>
    <w:rsid w:val="004070CF"/>
    <w:rsid w:val="0042193B"/>
    <w:rsid w:val="004C216A"/>
    <w:rsid w:val="005A0378"/>
    <w:rsid w:val="005A2586"/>
    <w:rsid w:val="005A6B3E"/>
    <w:rsid w:val="006208E6"/>
    <w:rsid w:val="00665621"/>
    <w:rsid w:val="006E4F82"/>
    <w:rsid w:val="006F64C9"/>
    <w:rsid w:val="007223EB"/>
    <w:rsid w:val="0074472B"/>
    <w:rsid w:val="007639A2"/>
    <w:rsid w:val="007C379D"/>
    <w:rsid w:val="007C62ED"/>
    <w:rsid w:val="007E39E3"/>
    <w:rsid w:val="007E5766"/>
    <w:rsid w:val="008128AD"/>
    <w:rsid w:val="008216F4"/>
    <w:rsid w:val="008560E2"/>
    <w:rsid w:val="00886EBF"/>
    <w:rsid w:val="009025B4"/>
    <w:rsid w:val="00961F9E"/>
    <w:rsid w:val="00982E39"/>
    <w:rsid w:val="00991A0D"/>
    <w:rsid w:val="009924CE"/>
    <w:rsid w:val="009974C1"/>
    <w:rsid w:val="009A7AA2"/>
    <w:rsid w:val="009B2372"/>
    <w:rsid w:val="009D1D4D"/>
    <w:rsid w:val="009F0249"/>
    <w:rsid w:val="00A00D45"/>
    <w:rsid w:val="00A03BBD"/>
    <w:rsid w:val="00A043B7"/>
    <w:rsid w:val="00A61EFD"/>
    <w:rsid w:val="00AA4570"/>
    <w:rsid w:val="00AA630A"/>
    <w:rsid w:val="00AC55A3"/>
    <w:rsid w:val="00AD30FF"/>
    <w:rsid w:val="00AE3D1A"/>
    <w:rsid w:val="00B03909"/>
    <w:rsid w:val="00B40ECD"/>
    <w:rsid w:val="00B54BDB"/>
    <w:rsid w:val="00B6263E"/>
    <w:rsid w:val="00BA23F0"/>
    <w:rsid w:val="00C00798"/>
    <w:rsid w:val="00C11E83"/>
    <w:rsid w:val="00C54636"/>
    <w:rsid w:val="00C60F8E"/>
    <w:rsid w:val="00C745F1"/>
    <w:rsid w:val="00CA0B42"/>
    <w:rsid w:val="00CA53B2"/>
    <w:rsid w:val="00CF267A"/>
    <w:rsid w:val="00D02F99"/>
    <w:rsid w:val="00D105FC"/>
    <w:rsid w:val="00D13271"/>
    <w:rsid w:val="00D14471"/>
    <w:rsid w:val="00D22F69"/>
    <w:rsid w:val="00D417A1"/>
    <w:rsid w:val="00D504B7"/>
    <w:rsid w:val="00D715F7"/>
    <w:rsid w:val="00DA7E8D"/>
    <w:rsid w:val="00DD7B5F"/>
    <w:rsid w:val="00DE7849"/>
    <w:rsid w:val="00E05E8B"/>
    <w:rsid w:val="00E12E04"/>
    <w:rsid w:val="00E13A42"/>
    <w:rsid w:val="00E366AB"/>
    <w:rsid w:val="00E54C7C"/>
    <w:rsid w:val="00E7649B"/>
    <w:rsid w:val="00E76E34"/>
    <w:rsid w:val="00ED7F81"/>
    <w:rsid w:val="00EE72BD"/>
    <w:rsid w:val="00F112E1"/>
    <w:rsid w:val="00F56396"/>
    <w:rsid w:val="00F96E22"/>
    <w:rsid w:val="00FB5F6E"/>
    <w:rsid w:val="00FB77A1"/>
    <w:rsid w:val="00FC24B5"/>
    <w:rsid w:val="00FF69C0"/>
    <w:rsid w:val="EBF65364"/>
    <w:rsid w:val="FEAF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1108</Words>
  <Characters>6320</Characters>
  <Lines>52</Lines>
  <Paragraphs>14</Paragraphs>
  <TotalTime>1</TotalTime>
  <ScaleCrop>false</ScaleCrop>
  <LinksUpToDate>false</LinksUpToDate>
  <CharactersWithSpaces>7414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2020-12-09T00:33:00Z</dcterms:created>
  <dc:creator>Windows User</dc:creator>
  <cp:lastModifiedBy>吴宇征</cp:lastModifiedBy>
  <cp:lastPrinted>2020-12-24T23:17:00Z</cp:lastPrinted>
  <dcterms:modified xsi:type="dcterms:W3CDTF">2025-03-25T19:57:36Z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21D42FA25F1CE3D3EFC2DB67AE6B2E6C_42</vt:lpwstr>
  </property>
</Properties>
</file>