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EEF14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《二外（法）（三）》课程教学大纲</w:t>
      </w:r>
    </w:p>
    <w:p w14:paraId="5206940D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 xml:space="preserve">一、课程基本信息 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10D3909">
        <w:trPr>
          <w:jc w:val="center"/>
        </w:trPr>
        <w:tc>
          <w:tcPr>
            <w:tcW w:w="1135" w:type="dxa"/>
            <w:vAlign w:val="center"/>
          </w:tcPr>
          <w:p w14:paraId="616AA2F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2FBD62B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Second Foreign Language (French)III</w:t>
            </w:r>
          </w:p>
        </w:tc>
        <w:tc>
          <w:tcPr>
            <w:tcW w:w="1134" w:type="dxa"/>
            <w:vAlign w:val="center"/>
          </w:tcPr>
          <w:p w14:paraId="22541F0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037A04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ENGL2022</w:t>
            </w:r>
          </w:p>
        </w:tc>
      </w:tr>
      <w:tr w14:paraId="2C62E7F1">
        <w:trPr>
          <w:jc w:val="center"/>
        </w:trPr>
        <w:tc>
          <w:tcPr>
            <w:tcW w:w="1135" w:type="dxa"/>
            <w:vAlign w:val="center"/>
          </w:tcPr>
          <w:p w14:paraId="3351D54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570CC4D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335AA44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75E014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英语、英语（师范）、翻译专业</w:t>
            </w:r>
          </w:p>
        </w:tc>
      </w:tr>
      <w:tr w14:paraId="00A2AEE5">
        <w:trPr>
          <w:jc w:val="center"/>
        </w:trPr>
        <w:tc>
          <w:tcPr>
            <w:tcW w:w="1135" w:type="dxa"/>
            <w:vAlign w:val="center"/>
          </w:tcPr>
          <w:p w14:paraId="6968CD6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49D0C35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3学分</w:t>
            </w:r>
          </w:p>
        </w:tc>
        <w:tc>
          <w:tcPr>
            <w:tcW w:w="1134" w:type="dxa"/>
            <w:vAlign w:val="center"/>
          </w:tcPr>
          <w:p w14:paraId="47EA500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030C0ED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72学时</w:t>
            </w:r>
          </w:p>
        </w:tc>
      </w:tr>
      <w:tr w14:paraId="084646A8">
        <w:trPr>
          <w:jc w:val="center"/>
        </w:trPr>
        <w:tc>
          <w:tcPr>
            <w:tcW w:w="1135" w:type="dxa"/>
            <w:vAlign w:val="center"/>
          </w:tcPr>
          <w:p w14:paraId="7C1C37A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61909FF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斯丹、陆洵</w:t>
            </w:r>
          </w:p>
        </w:tc>
        <w:tc>
          <w:tcPr>
            <w:tcW w:w="1134" w:type="dxa"/>
            <w:vAlign w:val="center"/>
          </w:tcPr>
          <w:p w14:paraId="04558F5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168B074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5年3月20日</w:t>
            </w:r>
            <w:bookmarkStart w:id="3" w:name="_GoBack"/>
            <w:bookmarkEnd w:id="3"/>
          </w:p>
        </w:tc>
      </w:tr>
      <w:tr w14:paraId="6BE8B7AF">
        <w:trPr>
          <w:jc w:val="center"/>
        </w:trPr>
        <w:tc>
          <w:tcPr>
            <w:tcW w:w="1135" w:type="dxa"/>
            <w:vAlign w:val="center"/>
          </w:tcPr>
          <w:p w14:paraId="0B115FD2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B90586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孙辉</w:t>
            </w:r>
            <w:r>
              <w:rPr>
                <w:rFonts w:ascii="宋体" w:hAnsi="宋体" w:eastAsia="宋体"/>
              </w:rPr>
              <w:t>编，《简明法语教程（修订版</w:t>
            </w:r>
            <w:r>
              <w:rPr>
                <w:rFonts w:hint="eastAsia" w:ascii="宋体" w:hAnsi="宋体" w:eastAsia="宋体"/>
              </w:rPr>
              <w:t>第3版</w:t>
            </w:r>
            <w:r>
              <w:rPr>
                <w:rFonts w:ascii="宋体" w:hAnsi="宋体" w:eastAsia="宋体"/>
              </w:rPr>
              <w:t>）上》，商务印书馆，2020年</w:t>
            </w:r>
          </w:p>
          <w:p w14:paraId="3495A506">
            <w:pPr>
              <w:spacing w:before="156" w:beforeLines="50" w:after="156" w:afterLines="50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</w:rPr>
              <w:t>孙辉编，《简明法语教程（修订版</w:t>
            </w: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ascii="宋体" w:hAnsi="宋体" w:eastAsia="宋体"/>
              </w:rPr>
              <w:t>3</w:t>
            </w:r>
            <w:r>
              <w:rPr>
                <w:rFonts w:hint="eastAsia" w:ascii="宋体" w:hAnsi="宋体" w:eastAsia="宋体"/>
              </w:rPr>
              <w:t>版</w:t>
            </w:r>
            <w:r>
              <w:rPr>
                <w:rFonts w:ascii="宋体" w:hAnsi="宋体" w:eastAsia="宋体"/>
              </w:rPr>
              <w:t>）下》，商务印书馆，2020年</w:t>
            </w:r>
          </w:p>
        </w:tc>
      </w:tr>
    </w:tbl>
    <w:p w14:paraId="59DBB2FA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5C6E0B24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6A22970D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二外法语作为英语专业（含英语、英语师范、翻译专业）学生必修课程的选择之一，是完整英语专业（含英语、英语师范、翻译专业）学生知识结构，培养复合型人才的重要课程。法国是个历史悠久，文化灿烂的国家，学生通过学习法语，了解法国文化，可以直接接触法国优秀的作品和思想，从中汲取有助于自身成长的养分。同时，英语专业（含英语、英语师范、翻译专业）学生可以通过两种外语学习的比较，更好地掌握学习外语的方法，使学生“鱼”“渔”双收。</w:t>
      </w:r>
    </w:p>
    <w:p w14:paraId="682D42F3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《二外法语（三）》课程是在学生学习了《二外法语（二）》的基础之上对法语的进一步学习，由九课初级教程组成，是学生的提高阶段。这阶段的主要教学目的主要有二。第一，是使学生循序渐进地学习法语语法，词汇和表达法。在每周四课时的积累中培养对法语的语感。第二，培养学生自学法语的能力，培养学生听，说，读的能力，使学生可以听懂简单的连续的文章，可以简单的交流，可以看懂中等难度的法语文章。并初步培养学生的法语写作能力。使学生在本课程的学习之后，用已经养成的学习习惯和方法在课外可以自己继续法语的学习。</w:t>
      </w:r>
    </w:p>
    <w:p w14:paraId="6B071582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09D106DA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课程目标1：法语运用能力</w:t>
      </w:r>
    </w:p>
    <w:p w14:paraId="33009EF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1.1 </w:t>
      </w:r>
      <w:r>
        <w:rPr>
          <w:rFonts w:hint="eastAsia" w:hAnsi="宋体" w:cs="宋体"/>
        </w:rPr>
        <w:t>能理解外语口语和书面语传递的信息、观点、情感</w:t>
      </w:r>
    </w:p>
    <w:p w14:paraId="39DED49A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能使用外语口语和书面语有效传递信息，表达思想、情感，并能注意语言表达的准确性</w:t>
      </w:r>
    </w:p>
    <w:p w14:paraId="6996CC6F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课程目标2：文学鉴赏能力</w:t>
      </w:r>
    </w:p>
    <w:p w14:paraId="592DA127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能理解外语文学作品的内容和主题思想</w:t>
      </w:r>
    </w:p>
    <w:p w14:paraId="468C456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能对文学作品进行评论</w:t>
      </w:r>
    </w:p>
    <w:p w14:paraId="0E4FAABC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课程目标3：</w:t>
      </w:r>
      <w:bookmarkEnd w:id="0"/>
      <w:r>
        <w:rPr>
          <w:rFonts w:hint="eastAsia" w:hAnsi="宋体" w:cs="宋体"/>
          <w:b/>
        </w:rPr>
        <w:t>跨文化能力</w:t>
      </w:r>
    </w:p>
    <w:p w14:paraId="21559CC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3.1 </w:t>
      </w:r>
      <w:r>
        <w:rPr>
          <w:rFonts w:hint="eastAsia" w:hAnsi="宋体" w:cs="宋体"/>
        </w:rPr>
        <w:t>尊重世界文化多样性，具有跨文化同理心和批判性文化意识</w:t>
      </w:r>
    </w:p>
    <w:p w14:paraId="6C6B634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3.2 </w:t>
      </w:r>
      <w:r>
        <w:rPr>
          <w:rFonts w:hint="eastAsia" w:hAnsi="宋体" w:cs="宋体"/>
        </w:rPr>
        <w:t>能有效和恰当地进行跨文化沟通</w:t>
      </w:r>
    </w:p>
    <w:p w14:paraId="6ECC08A8">
      <w:pPr>
        <w:pStyle w:val="2"/>
        <w:spacing w:before="156" w:beforeLines="50" w:after="156" w:afterLines="50"/>
        <w:ind w:firstLine="422" w:firstLineChars="200"/>
        <w:rPr>
          <w:rFonts w:hAnsi="宋体" w:cs="宋体"/>
        </w:rPr>
      </w:pPr>
      <w:bookmarkStart w:id="1" w:name="_Hlk75770486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bookmarkEnd w:id="1"/>
      <w:r>
        <w:rPr>
          <w:rFonts w:hint="eastAsia" w:hAnsi="宋体" w:cs="宋体"/>
          <w:b/>
        </w:rPr>
        <w:t>思辨能力和自主学习能力</w:t>
      </w:r>
    </w:p>
    <w:p w14:paraId="2475170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4.1 </w:t>
      </w:r>
      <w:r>
        <w:rPr>
          <w:rFonts w:hint="eastAsia" w:hAnsi="宋体" w:cs="宋体"/>
        </w:rPr>
        <w:t>勤学好问，谨慎判断，公正评价</w:t>
      </w:r>
    </w:p>
    <w:p w14:paraId="3B016D7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4.2 </w:t>
      </w:r>
      <w:r>
        <w:rPr>
          <w:rFonts w:hint="eastAsia" w:hAnsi="宋体" w:cs="宋体"/>
        </w:rPr>
        <w:t>能对学习进行自我规划、自我监管、自我评价、自我调节</w:t>
      </w:r>
    </w:p>
    <w:p w14:paraId="40D0523B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4.3 </w:t>
      </w:r>
      <w:r>
        <w:rPr>
          <w:rFonts w:hint="eastAsia" w:hAnsi="宋体" w:cs="宋体"/>
        </w:rPr>
        <w:t>能利用现代信息技术手段进行自主学习</w:t>
      </w:r>
    </w:p>
    <w:p w14:paraId="12EF7488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2" w:name="_Hlk75770537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5</w:t>
      </w:r>
      <w:r>
        <w:rPr>
          <w:rFonts w:hint="eastAsia" w:hAnsi="宋体" w:cs="宋体"/>
          <w:b/>
        </w:rPr>
        <w:t>：</w:t>
      </w:r>
      <w:bookmarkEnd w:id="2"/>
      <w:r>
        <w:rPr>
          <w:rFonts w:hint="eastAsia" w:hAnsi="宋体" w:cs="宋体"/>
          <w:b/>
        </w:rPr>
        <w:t>实践能力</w:t>
      </w:r>
    </w:p>
    <w:p w14:paraId="075649BF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5.1 </w:t>
      </w:r>
      <w:r>
        <w:rPr>
          <w:rFonts w:hint="eastAsia" w:hAnsi="宋体" w:cs="宋体"/>
        </w:rPr>
        <w:t>能通过实践活动拓展知识，掌握技能，学会与他人沟通合作</w:t>
      </w:r>
    </w:p>
    <w:p w14:paraId="070721B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5.2</w:t>
      </w:r>
      <w:r>
        <w:rPr>
          <w:rFonts w:hint="eastAsia" w:hAnsi="宋体" w:cs="宋体"/>
        </w:rPr>
        <w:t xml:space="preserve"> 能运用基本的信息技术</w:t>
      </w:r>
    </w:p>
    <w:p w14:paraId="37A565A3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5F38F73A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666301FE">
        <w:trPr>
          <w:jc w:val="center"/>
        </w:trPr>
        <w:tc>
          <w:tcPr>
            <w:tcW w:w="704" w:type="dxa"/>
            <w:vAlign w:val="center"/>
          </w:tcPr>
          <w:p w14:paraId="2771642F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441D191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2B5791A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597B331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0121E917">
        <w:trPr>
          <w:jc w:val="center"/>
        </w:trPr>
        <w:tc>
          <w:tcPr>
            <w:tcW w:w="704" w:type="dxa"/>
            <w:vMerge w:val="restart"/>
            <w:vAlign w:val="center"/>
          </w:tcPr>
          <w:p w14:paraId="7F505FE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497C6A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410" w:type="dxa"/>
            <w:vAlign w:val="center"/>
          </w:tcPr>
          <w:p w14:paraId="450AB58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46E2DA27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07D7E968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47AEA918">
        <w:trPr>
          <w:jc w:val="center"/>
        </w:trPr>
        <w:tc>
          <w:tcPr>
            <w:tcW w:w="704" w:type="dxa"/>
            <w:vMerge w:val="continue"/>
            <w:vAlign w:val="center"/>
          </w:tcPr>
          <w:p w14:paraId="0CF7D49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2CE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410" w:type="dxa"/>
            <w:vAlign w:val="center"/>
          </w:tcPr>
          <w:p w14:paraId="72CEE0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05839046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34275D1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2E5CA6A2">
        <w:trPr>
          <w:jc w:val="center"/>
        </w:trPr>
        <w:tc>
          <w:tcPr>
            <w:tcW w:w="704" w:type="dxa"/>
            <w:vMerge w:val="restart"/>
            <w:vAlign w:val="center"/>
          </w:tcPr>
          <w:p w14:paraId="0A94D34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276" w:type="dxa"/>
            <w:vAlign w:val="center"/>
          </w:tcPr>
          <w:p w14:paraId="0A79480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410" w:type="dxa"/>
            <w:vAlign w:val="center"/>
          </w:tcPr>
          <w:p w14:paraId="69CDA94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11E32BF6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531A2DD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14:paraId="59356512">
        <w:trPr>
          <w:jc w:val="center"/>
        </w:trPr>
        <w:tc>
          <w:tcPr>
            <w:tcW w:w="704" w:type="dxa"/>
            <w:vMerge w:val="continue"/>
            <w:vAlign w:val="center"/>
          </w:tcPr>
          <w:p w14:paraId="33716A6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10C755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410" w:type="dxa"/>
            <w:vAlign w:val="center"/>
          </w:tcPr>
          <w:p w14:paraId="75FE8F1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41C3D180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1048F03F">
            <w:r>
              <w:rPr>
                <w:rFonts w:hint="eastAsia" w:ascii="宋体" w:hAnsi="宋体" w:eastAsia="宋体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14:paraId="5DF84EC6">
        <w:trPr>
          <w:jc w:val="center"/>
        </w:trPr>
        <w:tc>
          <w:tcPr>
            <w:tcW w:w="704" w:type="dxa"/>
            <w:vMerge w:val="restart"/>
            <w:vAlign w:val="center"/>
          </w:tcPr>
          <w:p w14:paraId="7073489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11B5B08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024166A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220B34E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2F9A33E"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71026A60">
        <w:trPr>
          <w:jc w:val="center"/>
        </w:trPr>
        <w:tc>
          <w:tcPr>
            <w:tcW w:w="704" w:type="dxa"/>
            <w:vMerge w:val="continue"/>
            <w:vAlign w:val="center"/>
          </w:tcPr>
          <w:p w14:paraId="19F2E63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75744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32FA0A5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3D6BFAA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727AEDD1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0C9067F2">
        <w:trPr>
          <w:jc w:val="center"/>
        </w:trPr>
        <w:tc>
          <w:tcPr>
            <w:tcW w:w="704" w:type="dxa"/>
            <w:vMerge w:val="restart"/>
            <w:vAlign w:val="center"/>
          </w:tcPr>
          <w:p w14:paraId="04B7E40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276" w:type="dxa"/>
            <w:vAlign w:val="center"/>
          </w:tcPr>
          <w:p w14:paraId="1DB3C3D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146C42FB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18525C0C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AA1E910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2076E73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D22FE95">
        <w:trPr>
          <w:jc w:val="center"/>
        </w:trPr>
        <w:tc>
          <w:tcPr>
            <w:tcW w:w="704" w:type="dxa"/>
            <w:vMerge w:val="continue"/>
            <w:vAlign w:val="center"/>
          </w:tcPr>
          <w:p w14:paraId="1AF06F4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E9D1C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6920C69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296F2A6E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8BB91CF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3ED56F7E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31FEAFA2">
        <w:trPr>
          <w:jc w:val="center"/>
        </w:trPr>
        <w:tc>
          <w:tcPr>
            <w:tcW w:w="704" w:type="dxa"/>
            <w:vMerge w:val="continue"/>
            <w:vAlign w:val="center"/>
          </w:tcPr>
          <w:p w14:paraId="628D4A6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6B6A8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4.3</w:t>
            </w:r>
          </w:p>
        </w:tc>
        <w:tc>
          <w:tcPr>
            <w:tcW w:w="2410" w:type="dxa"/>
            <w:vAlign w:val="center"/>
          </w:tcPr>
          <w:p w14:paraId="70E32146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54805EE8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5BC5DA73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505A4465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704FDC9">
        <w:trPr>
          <w:jc w:val="center"/>
        </w:trPr>
        <w:tc>
          <w:tcPr>
            <w:tcW w:w="704" w:type="dxa"/>
            <w:vMerge w:val="restart"/>
            <w:vAlign w:val="center"/>
          </w:tcPr>
          <w:p w14:paraId="12A4A4A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514C98F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5.1</w:t>
            </w:r>
          </w:p>
        </w:tc>
        <w:tc>
          <w:tcPr>
            <w:tcW w:w="2410" w:type="dxa"/>
            <w:vAlign w:val="center"/>
          </w:tcPr>
          <w:p w14:paraId="02952BD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2FBF0D4D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F6E200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4ECFDAAD"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  <w:tr w14:paraId="3E40D29D">
        <w:trPr>
          <w:jc w:val="center"/>
        </w:trPr>
        <w:tc>
          <w:tcPr>
            <w:tcW w:w="704" w:type="dxa"/>
            <w:vMerge w:val="continue"/>
            <w:vAlign w:val="center"/>
          </w:tcPr>
          <w:p w14:paraId="3588C0D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59DFA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5.2</w:t>
            </w:r>
          </w:p>
        </w:tc>
        <w:tc>
          <w:tcPr>
            <w:tcW w:w="2410" w:type="dxa"/>
            <w:vAlign w:val="center"/>
          </w:tcPr>
          <w:p w14:paraId="44E4E4D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 xml:space="preserve"> </w:t>
            </w:r>
            <w:r>
              <w:rPr>
                <w:rFonts w:hAnsi="宋体" w:cs="宋体"/>
              </w:rPr>
              <w:t xml:space="preserve"> </w:t>
            </w:r>
            <w:r>
              <w:rPr>
                <w:rFonts w:hint="eastAsia" w:hAnsi="宋体" w:cs="宋体"/>
              </w:rPr>
              <w:t>第二十五章到第三十三章内容</w:t>
            </w:r>
          </w:p>
        </w:tc>
        <w:tc>
          <w:tcPr>
            <w:tcW w:w="4677" w:type="dxa"/>
            <w:vAlign w:val="center"/>
          </w:tcPr>
          <w:p w14:paraId="1C2B5B7B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661359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1A515BF0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</w:tbl>
    <w:p w14:paraId="57DCB55D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</w:p>
    <w:p w14:paraId="61075C3D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第二十五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Les grandes surfaces</w:t>
      </w:r>
    </w:p>
    <w:p w14:paraId="79291FE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9B9103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0BB01C9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语法</w:t>
      </w:r>
    </w:p>
    <w:p w14:paraId="7E44D9E9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、关系从句和关系代词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qui</w:t>
      </w:r>
    </w:p>
    <w:p w14:paraId="3268CDC9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2、形容词比较级</w:t>
      </w:r>
    </w:p>
    <w:p w14:paraId="79AB6185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3、副词比较级</w:t>
      </w:r>
    </w:p>
    <w:p w14:paraId="3EC932C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7AE327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00D208B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un autobus, interprète...</w:t>
      </w:r>
    </w:p>
    <w:p w14:paraId="14A460DE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rouler, augmenter...</w:t>
      </w:r>
    </w:p>
    <w:p w14:paraId="0124F414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intelligent, plus...</w:t>
      </w:r>
    </w:p>
    <w:p w14:paraId="01B4509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7D83635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487D99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5AB2A9C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Les grandes surfaces</w:t>
      </w:r>
    </w:p>
    <w:p w14:paraId="13290FA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294ABFB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33A9392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形容词与副词比较级的异同。</w:t>
      </w:r>
    </w:p>
    <w:p w14:paraId="7E02620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connaître/savoir辨析</w:t>
      </w:r>
    </w:p>
    <w:p w14:paraId="3C78D1E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21A9AAA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第二十六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La France</w:t>
      </w:r>
    </w:p>
    <w:p w14:paraId="5384AEF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439A10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51E3A58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2552A615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1、形容词最高级</w:t>
      </w:r>
    </w:p>
    <w:p w14:paraId="6EBA2C46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2、副词最高级</w:t>
      </w:r>
    </w:p>
    <w:p w14:paraId="77415F8E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3、被动态</w:t>
      </w:r>
    </w:p>
    <w:p w14:paraId="21FBBA9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132951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1C8D6EF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quartier, village...</w:t>
      </w:r>
    </w:p>
    <w:p w14:paraId="78E6BFA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courir, s’étendre...</w:t>
      </w:r>
    </w:p>
    <w:p w14:paraId="4752BC1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meilleur,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e, environ…</w:t>
      </w:r>
    </w:p>
    <w:p w14:paraId="4C076D9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404178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3C06FEBE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La France</w:t>
      </w:r>
    </w:p>
    <w:p w14:paraId="7367860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658EA86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2CDFE8E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形容词与副词最高级的异同。</w:t>
      </w:r>
    </w:p>
    <w:p w14:paraId="24F71CE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被动态使用优势是什么？</w:t>
      </w:r>
    </w:p>
    <w:p w14:paraId="371C466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2C57C4A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第二十七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Paris</w:t>
      </w:r>
    </w:p>
    <w:p w14:paraId="4D23A1B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6B00D07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194A21E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4C0439AB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1、关系代词que</w:t>
      </w:r>
    </w:p>
    <w:p w14:paraId="5925344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2、关系代词où</w:t>
      </w:r>
    </w:p>
    <w:p w14:paraId="03537BDC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4C3684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478394CE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capitale, reste…</w:t>
      </w:r>
    </w:p>
    <w:p w14:paraId="1DF071B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naître, attirer...</w:t>
      </w:r>
    </w:p>
    <w:p w14:paraId="2C481D6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cher, ère, au pied de...</w:t>
      </w:r>
    </w:p>
    <w:p w14:paraId="659CC5A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A58156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3038DF10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Paris</w:t>
      </w:r>
    </w:p>
    <w:p w14:paraId="10D244D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6DA72E9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41B32BD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关系代词que和qui的异同。</w:t>
      </w:r>
    </w:p>
    <w:p w14:paraId="11A516E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关系代词que，qui，où所代替的成分有何不同？</w:t>
      </w:r>
    </w:p>
    <w:p w14:paraId="1D9AB5AE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</w:p>
    <w:p w14:paraId="53389F7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第二十八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La province</w:t>
      </w:r>
    </w:p>
    <w:p w14:paraId="22E5256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BD8B25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533D955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7C97AC4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1、指示代词</w:t>
      </w:r>
    </w:p>
    <w:p w14:paraId="61B93965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2、简单将来时</w:t>
      </w:r>
    </w:p>
    <w:p w14:paraId="19DBBF9F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3、先将来时</w:t>
      </w:r>
    </w:p>
    <w:p w14:paraId="1E52E7C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6D921C1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194CD96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gare, province...</w:t>
      </w:r>
    </w:p>
    <w:p w14:paraId="343C201A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opposer, tirer...</w:t>
      </w:r>
    </w:p>
    <w:p w14:paraId="01A8525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court,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e, à côté de....</w:t>
      </w:r>
    </w:p>
    <w:p w14:paraId="316AFB9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7041B31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2380F87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La Province</w:t>
      </w:r>
    </w:p>
    <w:p w14:paraId="25C829B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0AF55EC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0242819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简单将来时与最近将来时的异同。</w:t>
      </w:r>
    </w:p>
    <w:p w14:paraId="4C73452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除了先将来时，还学过什么先时性吗？</w:t>
      </w:r>
    </w:p>
    <w:p w14:paraId="7D305F8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3CCB825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第二十九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Un médecin parle de sa profession</w:t>
      </w:r>
    </w:p>
    <w:p w14:paraId="55B469A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546AF7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03C5789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49AFF9F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1、过去将来时</w:t>
      </w:r>
    </w:p>
    <w:p w14:paraId="7F15730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2、间接引语</w:t>
      </w:r>
    </w:p>
    <w:p w14:paraId="74EA24B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58F463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7486703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profession, docteur…</w:t>
      </w:r>
    </w:p>
    <w:p w14:paraId="648B066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répondre, poser...</w:t>
      </w:r>
    </w:p>
    <w:p w14:paraId="448282E7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possible, certainement...</w:t>
      </w:r>
    </w:p>
    <w:p w14:paraId="5DE4A2B2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7426B2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3A15342C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Un médecin parle de sa profession</w:t>
      </w:r>
    </w:p>
    <w:p w14:paraId="5A7F4BA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608562E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7830756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思考过去将来时与现在将来时的异同。</w:t>
      </w:r>
    </w:p>
    <w:p w14:paraId="7615252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间接引语与直接引语的比较。</w:t>
      </w:r>
    </w:p>
    <w:p w14:paraId="243EDAC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1A5BD22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Américanisation en France</w:t>
      </w:r>
    </w:p>
    <w:p w14:paraId="5450E11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DD701D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7C6DBB6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18BBC174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1、强调的表达方法</w:t>
      </w:r>
    </w:p>
    <w:p w14:paraId="75F94100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2、代词式动词的几种意义</w:t>
      </w:r>
    </w:p>
    <w:p w14:paraId="763F903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3、书信及信封格式</w:t>
      </w:r>
    </w:p>
    <w:p w14:paraId="7F8D5C1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6D128F6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7C156E4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musique, américanisation...</w:t>
      </w:r>
    </w:p>
    <w:p w14:paraId="5D33F18E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intéresser, impressionner...</w:t>
      </w:r>
    </w:p>
    <w:p w14:paraId="2CC6C01C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moderne, ça fait....</w:t>
      </w:r>
    </w:p>
    <w:p w14:paraId="5FC4BEB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19D697A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5884BB95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Américanisation en France</w:t>
      </w:r>
    </w:p>
    <w:p w14:paraId="771D1BC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2BF29D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6AB4C57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思考代词式动词中代词的成分。</w:t>
      </w:r>
    </w:p>
    <w:p w14:paraId="340948F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比较中法信封书写异同。</w:t>
      </w:r>
    </w:p>
    <w:p w14:paraId="29990BC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6F64A3FB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第三十一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（下册） Les dangers de l’auto-stop</w:t>
      </w:r>
    </w:p>
    <w:p w14:paraId="5E6154B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6FB9AE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0D72065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6A6994C3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1、愈过去时</w:t>
      </w:r>
    </w:p>
    <w:p w14:paraId="6F7CEB4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2、间接引语（补充）</w:t>
      </w:r>
    </w:p>
    <w:p w14:paraId="265B1F5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10CD518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2FBC64A2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danger, automobiliste…</w:t>
      </w:r>
    </w:p>
    <w:p w14:paraId="696D591D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se passer, présenter...</w:t>
      </w:r>
    </w:p>
    <w:p w14:paraId="2300AB9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presque, auparavant...</w:t>
      </w:r>
    </w:p>
    <w:p w14:paraId="6BC2A11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4AA807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3C0E3269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Les dangers de l’auto-stop</w:t>
      </w:r>
    </w:p>
    <w:p w14:paraId="07B0CB4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47404B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11E4CB3A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 voleur et Balzac</w:t>
      </w:r>
    </w:p>
    <w:p w14:paraId="11552A25">
      <w:pPr>
        <w:snapToGrid w:val="0"/>
        <w:ind w:firstLine="415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</w:t>
      </w:r>
    </w:p>
    <w:p w14:paraId="0B3E782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7694382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先时性小结。</w:t>
      </w:r>
    </w:p>
    <w:p w14:paraId="2F3BDF2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间接引语的时态配合。</w:t>
      </w:r>
    </w:p>
    <w:p w14:paraId="26EDB07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797AD62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第三十二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Le déjeuner de Napoléon</w:t>
      </w:r>
    </w:p>
    <w:p w14:paraId="0B47BD2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A2F3DA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615E19D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72135BCC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1、简单过去时</w:t>
      </w:r>
    </w:p>
    <w:p w14:paraId="6BB58E8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2、简单过去时与其他几种过去时态的比较</w:t>
      </w:r>
    </w:p>
    <w:p w14:paraId="2F28CC32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3、时态配合</w:t>
      </w:r>
    </w:p>
    <w:p w14:paraId="4B2E723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FE01F2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6417714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empereur, colonne...</w:t>
      </w:r>
    </w:p>
    <w:p w14:paraId="7261C2C0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mourir, forger...</w:t>
      </w:r>
    </w:p>
    <w:p w14:paraId="2B7939A9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embarrassant, e même...</w:t>
      </w:r>
    </w:p>
    <w:p w14:paraId="64A5D04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833088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68DA3439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Le déjeuner de Napoléon</w:t>
      </w:r>
    </w:p>
    <w:p w14:paraId="1612561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87E3D1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7DFBBD0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  Maupassant et la tour Eiffel</w:t>
      </w:r>
    </w:p>
    <w:p w14:paraId="3D8EBB0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7AA22D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45081C8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童话故事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的叙述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该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用简单过去时还是复合过去时？</w:t>
      </w:r>
    </w:p>
    <w:p w14:paraId="633C23C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proposer与conseiller辨析。</w:t>
      </w:r>
    </w:p>
    <w:p w14:paraId="1534E82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9BBD54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5F0B5FE">
      <w:pPr>
        <w:snapToGrid w:val="0"/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第三十三</w:t>
      </w:r>
      <w:r>
        <w:rPr>
          <w:rFonts w:hint="eastAsia"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>章</w:t>
      </w:r>
      <w:r>
        <w:rPr>
          <w:rFonts w:ascii="黑体" w:hAnsi="黑体" w:eastAsia="黑体"/>
          <w:color w:val="000000" w:themeColor="text1"/>
          <w:sz w:val="24"/>
          <w:szCs w:val="24"/>
          <w:lang w:val="fr-FR"/>
          <w14:textFill>
            <w14:solidFill>
              <w14:schemeClr w14:val="tx1"/>
            </w14:solidFill>
          </w14:textFill>
        </w:rPr>
        <w:t xml:space="preserve"> Les enfants à la clé</w:t>
      </w:r>
    </w:p>
    <w:p w14:paraId="14085EF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02ED20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教学内容</w:t>
      </w:r>
    </w:p>
    <w:p w14:paraId="3F3B991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第一节 语法</w:t>
      </w:r>
    </w:p>
    <w:p w14:paraId="6C6D566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1、关系代词dont</w:t>
      </w:r>
    </w:p>
    <w:p w14:paraId="3997C292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2、中性代词le</w:t>
      </w:r>
    </w:p>
    <w:p w14:paraId="0E103448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3、介词pour的几种用法</w:t>
      </w:r>
    </w:p>
    <w:p w14:paraId="1EB26E72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3E43DF6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第二节 单词</w:t>
      </w:r>
    </w:p>
    <w:p w14:paraId="4CDE8A5F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faculté, pyjama…</w:t>
      </w:r>
    </w:p>
    <w:p w14:paraId="106F4671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se rendre, ronronner...</w:t>
      </w:r>
    </w:p>
    <w:p w14:paraId="17EE0E0F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3. absent,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e, avoir l’air...</w:t>
      </w:r>
    </w:p>
    <w:p w14:paraId="229E00F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2988B7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第三节 课文</w:t>
      </w:r>
    </w:p>
    <w:p w14:paraId="512BAF8B">
      <w:pPr>
        <w:snapToGrid w:val="0"/>
        <w:ind w:firstLine="420" w:firstLineChars="20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Les enfants à la clé  </w:t>
      </w:r>
    </w:p>
    <w:p w14:paraId="13FA5AB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677C61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第四节 阅读</w:t>
      </w:r>
    </w:p>
    <w:p w14:paraId="3BF6905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      L’art en France</w:t>
      </w:r>
    </w:p>
    <w:p w14:paraId="7D0BE70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4CAA71F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思考题：</w:t>
      </w:r>
    </w:p>
    <w:p w14:paraId="41E4330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1. 关系代词dont与de qui的区别？</w:t>
      </w:r>
    </w:p>
    <w:p w14:paraId="6A877DB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2. le和ce的区别？</w:t>
      </w:r>
    </w:p>
    <w:p w14:paraId="0EBBCEC6">
      <w:pPr>
        <w:widowControl/>
        <w:spacing w:before="156" w:beforeLines="50" w:after="156" w:afterLines="50"/>
        <w:ind w:firstLine="420" w:firstLineChars="200"/>
        <w:jc w:val="left"/>
        <w:rPr>
          <w:lang w:val="fr-FR"/>
        </w:rPr>
      </w:pPr>
    </w:p>
    <w:p w14:paraId="55F84810">
      <w:pPr>
        <w:widowControl/>
        <w:spacing w:before="156" w:beforeLines="50" w:after="156" w:afterLines="50"/>
        <w:ind w:firstLine="561" w:firstLineChars="200"/>
        <w:jc w:val="left"/>
        <w:rPr>
          <w:lang w:val="es-ES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30F16841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  <w:lang w:val="es-ES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s-ES"/>
        </w:rPr>
        <w:t>2：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B84D9FD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83942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07B189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0E63B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6A480AD5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2ABA5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第二十五章</w:t>
            </w:r>
          </w:p>
        </w:tc>
        <w:tc>
          <w:tcPr>
            <w:tcW w:w="2765" w:type="dxa"/>
            <w:vAlign w:val="center"/>
          </w:tcPr>
          <w:p w14:paraId="5E06D8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lang w:val="es-ES"/>
              </w:rPr>
              <w:t xml:space="preserve">Les grandes </w:t>
            </w:r>
            <w:r>
              <w:rPr>
                <w:rFonts w:ascii="宋体" w:hAnsi="宋体" w:eastAsia="宋体"/>
                <w:lang w:val="fr-FR"/>
              </w:rPr>
              <w:t>surfaces</w:t>
            </w:r>
          </w:p>
        </w:tc>
        <w:tc>
          <w:tcPr>
            <w:tcW w:w="2766" w:type="dxa"/>
            <w:vAlign w:val="center"/>
          </w:tcPr>
          <w:p w14:paraId="47B79E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45DE2AB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8D47D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第二十六章</w:t>
            </w:r>
          </w:p>
        </w:tc>
        <w:tc>
          <w:tcPr>
            <w:tcW w:w="2765" w:type="dxa"/>
            <w:vAlign w:val="center"/>
          </w:tcPr>
          <w:p w14:paraId="3ACD1B6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La France</w:t>
            </w:r>
          </w:p>
        </w:tc>
        <w:tc>
          <w:tcPr>
            <w:tcW w:w="2766" w:type="dxa"/>
            <w:vAlign w:val="center"/>
          </w:tcPr>
          <w:p w14:paraId="69A04E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660B5D7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718EBC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第二十七章</w:t>
            </w:r>
          </w:p>
        </w:tc>
        <w:tc>
          <w:tcPr>
            <w:tcW w:w="2765" w:type="dxa"/>
            <w:vAlign w:val="center"/>
          </w:tcPr>
          <w:p w14:paraId="121AB1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Paris</w:t>
            </w:r>
          </w:p>
        </w:tc>
        <w:tc>
          <w:tcPr>
            <w:tcW w:w="2766" w:type="dxa"/>
            <w:vAlign w:val="center"/>
          </w:tcPr>
          <w:p w14:paraId="251D09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1095D8A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D0E8F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第二十八章</w:t>
            </w:r>
          </w:p>
        </w:tc>
        <w:tc>
          <w:tcPr>
            <w:tcW w:w="2765" w:type="dxa"/>
            <w:vAlign w:val="center"/>
          </w:tcPr>
          <w:p w14:paraId="12ABB99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La province</w:t>
            </w:r>
          </w:p>
        </w:tc>
        <w:tc>
          <w:tcPr>
            <w:tcW w:w="2766" w:type="dxa"/>
            <w:vAlign w:val="center"/>
          </w:tcPr>
          <w:p w14:paraId="60FACC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4F9D79E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FA640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第二十九章</w:t>
            </w:r>
          </w:p>
        </w:tc>
        <w:tc>
          <w:tcPr>
            <w:tcW w:w="2765" w:type="dxa"/>
            <w:vAlign w:val="center"/>
          </w:tcPr>
          <w:p w14:paraId="0804B4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Un médecin parle de sa profession</w:t>
            </w:r>
          </w:p>
        </w:tc>
        <w:tc>
          <w:tcPr>
            <w:tcW w:w="2766" w:type="dxa"/>
            <w:vAlign w:val="center"/>
          </w:tcPr>
          <w:p w14:paraId="378DA2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1163D80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75A7D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第三十章</w:t>
            </w:r>
          </w:p>
        </w:tc>
        <w:tc>
          <w:tcPr>
            <w:tcW w:w="2765" w:type="dxa"/>
            <w:vAlign w:val="center"/>
          </w:tcPr>
          <w:p w14:paraId="158383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Américanisation en France</w:t>
            </w:r>
          </w:p>
        </w:tc>
        <w:tc>
          <w:tcPr>
            <w:tcW w:w="2766" w:type="dxa"/>
            <w:vAlign w:val="center"/>
          </w:tcPr>
          <w:p w14:paraId="71602B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3063926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E623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第三十一章</w:t>
            </w:r>
          </w:p>
        </w:tc>
        <w:tc>
          <w:tcPr>
            <w:tcW w:w="2765" w:type="dxa"/>
            <w:vAlign w:val="center"/>
          </w:tcPr>
          <w:p w14:paraId="59AE9C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Les dangers de l’auto-stop</w:t>
            </w:r>
          </w:p>
        </w:tc>
        <w:tc>
          <w:tcPr>
            <w:tcW w:w="2766" w:type="dxa"/>
            <w:vAlign w:val="center"/>
          </w:tcPr>
          <w:p w14:paraId="1AA4692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382572E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6F455F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第三十二章</w:t>
            </w:r>
          </w:p>
        </w:tc>
        <w:tc>
          <w:tcPr>
            <w:tcW w:w="2765" w:type="dxa"/>
            <w:vAlign w:val="center"/>
          </w:tcPr>
          <w:p w14:paraId="169257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 déjeuner de Napoléon</w:t>
            </w:r>
          </w:p>
        </w:tc>
        <w:tc>
          <w:tcPr>
            <w:tcW w:w="2766" w:type="dxa"/>
            <w:vAlign w:val="center"/>
          </w:tcPr>
          <w:p w14:paraId="074689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53AD36F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FB6F2A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第三十三章</w:t>
            </w:r>
          </w:p>
        </w:tc>
        <w:tc>
          <w:tcPr>
            <w:tcW w:w="2765" w:type="dxa"/>
            <w:vAlign w:val="center"/>
          </w:tcPr>
          <w:p w14:paraId="78878A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Les enfants à la clé</w:t>
            </w:r>
          </w:p>
        </w:tc>
        <w:tc>
          <w:tcPr>
            <w:tcW w:w="2766" w:type="dxa"/>
            <w:vAlign w:val="center"/>
          </w:tcPr>
          <w:p w14:paraId="02CB7D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</w:tbl>
    <w:p w14:paraId="0E56086D">
      <w:pPr>
        <w:widowControl/>
        <w:spacing w:before="156" w:beforeLines="50" w:after="156" w:afterLines="50"/>
        <w:ind w:firstLine="561" w:firstLineChars="200"/>
        <w:jc w:val="left"/>
        <w:rPr>
          <w:rFonts w:ascii="黑体" w:hAnsi="黑体" w:eastAsia="黑体"/>
          <w:b/>
          <w:sz w:val="28"/>
          <w:szCs w:val="28"/>
        </w:rPr>
      </w:pPr>
    </w:p>
    <w:p w14:paraId="5A80E01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1D214672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1954"/>
        <w:gridCol w:w="1590"/>
        <w:gridCol w:w="850"/>
        <w:gridCol w:w="1418"/>
        <w:gridCol w:w="646"/>
      </w:tblGrid>
      <w:tr w14:paraId="5B658E9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20983B7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0B2DF29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54" w:type="dxa"/>
            <w:vAlign w:val="center"/>
          </w:tcPr>
          <w:p w14:paraId="7CC1353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590" w:type="dxa"/>
            <w:vAlign w:val="center"/>
          </w:tcPr>
          <w:p w14:paraId="1B238A6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D822C6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45EF073F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7DF5D7D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28B4A3D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21D43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17A03D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796A03A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es-ES"/>
              </w:rPr>
              <w:t xml:space="preserve">Les grandes </w:t>
            </w:r>
            <w:r>
              <w:rPr>
                <w:rFonts w:ascii="宋体" w:hAnsi="宋体" w:eastAsia="宋体"/>
                <w:lang w:val="fr-FR"/>
              </w:rPr>
              <w:t>surfaces</w:t>
            </w:r>
          </w:p>
        </w:tc>
        <w:tc>
          <w:tcPr>
            <w:tcW w:w="1590" w:type="dxa"/>
            <w:vAlign w:val="center"/>
          </w:tcPr>
          <w:p w14:paraId="731B5B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描述地理位置</w:t>
            </w:r>
          </w:p>
        </w:tc>
        <w:tc>
          <w:tcPr>
            <w:tcW w:w="850" w:type="dxa"/>
            <w:vAlign w:val="center"/>
          </w:tcPr>
          <w:p w14:paraId="7BA4BA7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79928B6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5FAA10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AFF21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95E3D3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4FEF4A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33FD95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2508A4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La France</w:t>
            </w:r>
          </w:p>
        </w:tc>
        <w:tc>
          <w:tcPr>
            <w:tcW w:w="1590" w:type="dxa"/>
            <w:vAlign w:val="center"/>
          </w:tcPr>
          <w:p w14:paraId="06D5C91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描述法国风貌</w:t>
            </w:r>
          </w:p>
        </w:tc>
        <w:tc>
          <w:tcPr>
            <w:tcW w:w="850" w:type="dxa"/>
            <w:vAlign w:val="center"/>
          </w:tcPr>
          <w:p w14:paraId="528F740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4BC5A52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76F29E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EA70B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95F2072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F6054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3D98AE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559A966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Paris</w:t>
            </w:r>
          </w:p>
        </w:tc>
        <w:tc>
          <w:tcPr>
            <w:tcW w:w="1590" w:type="dxa"/>
            <w:vAlign w:val="center"/>
          </w:tcPr>
          <w:p w14:paraId="7BC479E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介绍法国首都</w:t>
            </w:r>
          </w:p>
        </w:tc>
        <w:tc>
          <w:tcPr>
            <w:tcW w:w="850" w:type="dxa"/>
            <w:vAlign w:val="center"/>
          </w:tcPr>
          <w:p w14:paraId="3B84A60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5827FA7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032150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C5D7B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6CC01A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016CABE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410A90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D65062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La province</w:t>
            </w:r>
          </w:p>
        </w:tc>
        <w:tc>
          <w:tcPr>
            <w:tcW w:w="1590" w:type="dxa"/>
            <w:vAlign w:val="center"/>
          </w:tcPr>
          <w:p w14:paraId="37A988C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介绍法国省份</w:t>
            </w:r>
          </w:p>
        </w:tc>
        <w:tc>
          <w:tcPr>
            <w:tcW w:w="850" w:type="dxa"/>
            <w:vAlign w:val="center"/>
          </w:tcPr>
          <w:p w14:paraId="7DF194E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12291E6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E297FB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9149C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DD435CD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B6824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50" w:type="dxa"/>
            <w:vAlign w:val="center"/>
          </w:tcPr>
          <w:p w14:paraId="655DA0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3DC25F5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Un médecin parle de sa profession</w:t>
            </w:r>
          </w:p>
        </w:tc>
        <w:tc>
          <w:tcPr>
            <w:tcW w:w="1590" w:type="dxa"/>
            <w:vAlign w:val="center"/>
          </w:tcPr>
          <w:p w14:paraId="3FA8FC60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 xml:space="preserve">介绍法国的医疗服务 </w:t>
            </w:r>
          </w:p>
        </w:tc>
        <w:tc>
          <w:tcPr>
            <w:tcW w:w="850" w:type="dxa"/>
            <w:vAlign w:val="center"/>
          </w:tcPr>
          <w:p w14:paraId="50E6B69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3DF7457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230260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C2F4E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7D3B7A6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120EB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50" w:type="dxa"/>
            <w:vAlign w:val="center"/>
          </w:tcPr>
          <w:p w14:paraId="56E6AC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A7DA606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Américanisation en France</w:t>
            </w:r>
          </w:p>
        </w:tc>
        <w:tc>
          <w:tcPr>
            <w:tcW w:w="1590" w:type="dxa"/>
            <w:vAlign w:val="center"/>
          </w:tcPr>
          <w:p w14:paraId="71572C7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描述法国社会趋势 </w:t>
            </w:r>
          </w:p>
        </w:tc>
        <w:tc>
          <w:tcPr>
            <w:tcW w:w="850" w:type="dxa"/>
            <w:vAlign w:val="center"/>
          </w:tcPr>
          <w:p w14:paraId="3850B2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69101CD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14FA9C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D40539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359601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03935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850" w:type="dxa"/>
            <w:vAlign w:val="center"/>
          </w:tcPr>
          <w:p w14:paraId="5DC41D9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7B03FA3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es-ES"/>
              </w:rPr>
              <w:t>Les dangers de l’auto-stop</w:t>
            </w:r>
          </w:p>
        </w:tc>
        <w:tc>
          <w:tcPr>
            <w:tcW w:w="1590" w:type="dxa"/>
            <w:vAlign w:val="center"/>
          </w:tcPr>
          <w:p w14:paraId="4F862DE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分析法国顺风车的利弊 </w:t>
            </w:r>
          </w:p>
        </w:tc>
        <w:tc>
          <w:tcPr>
            <w:tcW w:w="850" w:type="dxa"/>
            <w:vAlign w:val="center"/>
          </w:tcPr>
          <w:p w14:paraId="699AC62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2093AE4F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E64F83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2932E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7FFB16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6C7358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850" w:type="dxa"/>
            <w:vAlign w:val="center"/>
          </w:tcPr>
          <w:p w14:paraId="035D75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33747A12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 déjeuner de Napoléon</w:t>
            </w:r>
          </w:p>
        </w:tc>
        <w:tc>
          <w:tcPr>
            <w:tcW w:w="1590" w:type="dxa"/>
            <w:vAlign w:val="center"/>
          </w:tcPr>
          <w:p w14:paraId="167BCD1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介绍法国饮食习惯</w:t>
            </w:r>
          </w:p>
        </w:tc>
        <w:tc>
          <w:tcPr>
            <w:tcW w:w="850" w:type="dxa"/>
            <w:vAlign w:val="center"/>
          </w:tcPr>
          <w:p w14:paraId="2676FEC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70E6749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86AFCA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B6B8CA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84E1F7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7462C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50" w:type="dxa"/>
            <w:vAlign w:val="center"/>
          </w:tcPr>
          <w:p w14:paraId="6A1730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16BF8606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Les enfants à la clé</w:t>
            </w:r>
          </w:p>
        </w:tc>
        <w:tc>
          <w:tcPr>
            <w:tcW w:w="1590" w:type="dxa"/>
            <w:vAlign w:val="center"/>
          </w:tcPr>
          <w:p w14:paraId="4C85506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介绍法国的教育体制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316B1A9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4F8B6C2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61B899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497AD51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1428C2D7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5CB6A903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1、孙辉 编，《简明法语教程 练习参考答案》，商务印书馆，2006年</w:t>
      </w:r>
    </w:p>
    <w:p w14:paraId="667ED119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2、王海燕 主编，《你好！法语2（学生用书）》，外语教学与研究出版社，2013年</w:t>
      </w:r>
    </w:p>
    <w:p w14:paraId="2A289356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3、张敏、刘常津等编，《新编大学法语2》，外语教学与研究出版社，2020年</w:t>
      </w:r>
    </w:p>
    <w:p w14:paraId="71A9094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4、马晓宏 林孝煜 编著，《法语2修订本》，外语教学与研究出版社，2013年</w:t>
      </w:r>
    </w:p>
    <w:p w14:paraId="4F422F7F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5、张彤等编，《全新法语语法350练习与指导（中级）》，上海译文出版社，2014年</w:t>
      </w:r>
    </w:p>
    <w:p w14:paraId="1A55EE6D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lang w:val="es-AR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  <w:r>
        <w:rPr>
          <w:rFonts w:hint="eastAsia" w:ascii="黑体" w:hAnsi="黑体" w:eastAsia="黑体"/>
          <w:b/>
          <w:sz w:val="28"/>
          <w:szCs w:val="28"/>
          <w:lang w:val="es-AR"/>
        </w:rPr>
        <w:t xml:space="preserve"> </w:t>
      </w:r>
    </w:p>
    <w:p w14:paraId="6DA879F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735C565E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386A39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 w14:paraId="5E2800FF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3FBB30C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练习法是学生在教师的指导下巩固知识、运用知识、形成技能技巧的方法。可分为以下几种：</w:t>
      </w:r>
    </w:p>
    <w:p w14:paraId="0B4AD242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其一，语言的练习。包括口头语言和书面语言的练习，旨在培养学生的表达能力。</w:t>
      </w:r>
    </w:p>
    <w:p w14:paraId="5070D58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其二，解答问题的练习。包括口头和书面解答问题的练习，旨在培养学生运用知识解决问题的能力。</w:t>
      </w:r>
    </w:p>
    <w:p w14:paraId="13BCE5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其三，实际操作的练习。旨在形成操作技能，在技术性学科中占重要地位。</w:t>
      </w:r>
    </w:p>
    <w:p w14:paraId="0032A56B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</w:p>
    <w:p w14:paraId="50B87056">
      <w:pPr>
        <w:widowControl/>
        <w:spacing w:before="156" w:beforeLines="50" w:after="156" w:afterLines="50"/>
        <w:ind w:firstLine="561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4EBA72A0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61CC46BB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0EE97444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4C24F4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5D67F40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7809114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717F5167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2D1E1EA9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778AF79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法语运用能力</w:t>
            </w:r>
          </w:p>
        </w:tc>
        <w:tc>
          <w:tcPr>
            <w:tcW w:w="3163" w:type="dxa"/>
            <w:vAlign w:val="center"/>
          </w:tcPr>
          <w:p w14:paraId="294906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3EC877B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3C62C0D3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60" w:type="dxa"/>
            <w:vAlign w:val="center"/>
          </w:tcPr>
          <w:p w14:paraId="338C216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文学鉴赏能力</w:t>
            </w:r>
          </w:p>
        </w:tc>
        <w:tc>
          <w:tcPr>
            <w:tcW w:w="3163" w:type="dxa"/>
            <w:vAlign w:val="center"/>
          </w:tcPr>
          <w:p w14:paraId="21EAB34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EE9BCFA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6416479B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60" w:type="dxa"/>
            <w:vAlign w:val="center"/>
          </w:tcPr>
          <w:p w14:paraId="45C601E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跨文化能力</w:t>
            </w:r>
          </w:p>
        </w:tc>
        <w:tc>
          <w:tcPr>
            <w:tcW w:w="3163" w:type="dxa"/>
            <w:vAlign w:val="center"/>
          </w:tcPr>
          <w:p w14:paraId="58444A7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0DD1DA80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803A56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3260" w:type="dxa"/>
            <w:vAlign w:val="center"/>
          </w:tcPr>
          <w:p w14:paraId="3EEE21F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思辨能力和自主学习能力</w:t>
            </w:r>
          </w:p>
        </w:tc>
        <w:tc>
          <w:tcPr>
            <w:tcW w:w="3163" w:type="dxa"/>
            <w:vAlign w:val="center"/>
          </w:tcPr>
          <w:p w14:paraId="5098B7D9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BA4792E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46B80BB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3260" w:type="dxa"/>
            <w:vAlign w:val="center"/>
          </w:tcPr>
          <w:p w14:paraId="1DA6FDB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实践能力</w:t>
            </w:r>
          </w:p>
        </w:tc>
        <w:tc>
          <w:tcPr>
            <w:tcW w:w="3163" w:type="dxa"/>
            <w:vAlign w:val="center"/>
          </w:tcPr>
          <w:p w14:paraId="2A604E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7FC9A935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766D4BBD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59FF8AA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    </w:t>
      </w:r>
    </w:p>
    <w:p w14:paraId="3B77A973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78AC66C2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1A5FAA8B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8EF1358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56C5DBFA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F94EAD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174C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45EA8F5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8A2FF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24293675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1E61B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F97DE2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195B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94985B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49C91F5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059825D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（2）课程目标2、目标3、目标4、目标5达成度按照上述方式计算</w:t>
            </w:r>
          </w:p>
          <w:p w14:paraId="38F18287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达成度。</w:t>
            </w:r>
          </w:p>
        </w:tc>
      </w:tr>
      <w:tr w14:paraId="1AF0A9F7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C1AEFE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737DF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433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13860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AEAC0B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446DE5F5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B52F1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ADC4E5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60FF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38E23B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5EFDA9F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E586999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71BCC8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835AA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395DD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5D191D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3D3C5CE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A1DCED9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0D7CC8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1CD340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0B44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3B1FC35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4C9563AD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04951CFF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980"/>
        <w:gridCol w:w="1985"/>
        <w:gridCol w:w="1984"/>
      </w:tblGrid>
      <w:tr w14:paraId="434BAA84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8625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20472E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91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CEA2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70CD3C6A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971C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FBC3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51FD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5C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2C6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59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159D5196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939A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B04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7F0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E9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DB3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ADE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34FCED42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92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CBBF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4D19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8C2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10B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8CA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35D3A1A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6BEB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76E4B3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953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能够非常好地理解外语口语和书面语传递的信息、观点、情感；使用外语口语和书面语有效传递信息，表达思想、情感，并能注意语言表达的准确性。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8D47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能够很好地理解外语口语和书面语传递的信息、观点、情感；使用外语口语和书面语有效传递信息，表达思想、情感，并能注意语言表达的准确性。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BC16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能够较好地理解外语口语和书面语传递的信息、观点、情感；使用外语口语和书面语有效传递信息，表达思想、情感，并能注意语言表达的准确性。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928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能够基本理解外语口语和书面语传递的信息、观点、情感；使用外语口语和书面语有效传递信息，表达思想、情感，并能注意语言表达的准确性。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F712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不能理解外语口语和书面语传递的信息、观点、情感；使用外语口语和书面语有效传递信息，表达思想、情感，并能注意语言表达的准确性。</w:t>
            </w:r>
          </w:p>
        </w:tc>
      </w:tr>
      <w:tr w14:paraId="09D8568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6DE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5FF9DFC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828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能够非常好地理解外语文学作品的内容和主题思想；对文学作品进行评论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A703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能够很好地理解外语文学作品的内容和主题思想；对文学作品进行评论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F062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能够较好地理解外语文学作品的内容和主题思想；对文学作品进行评论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B034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能够基本理解外语文学作品的内容和主题思想；对文学作品进行评论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93B6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不能理解外语文学作品的内容和主题思想；对文学作品进行评论</w:t>
            </w:r>
          </w:p>
        </w:tc>
      </w:tr>
      <w:tr w14:paraId="44E980BA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D364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D98914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9DC7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C416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341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9E8D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能够做到基本尊重世界文化多样性，具有跨文化同理心和批判性文化意识；能有效和恰当地进行跨文化沟通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581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不能尊重世界文化多样性，具有跨文化同理心和批判性文化意识；能有效和恰当地进行跨文化沟通</w:t>
            </w:r>
          </w:p>
        </w:tc>
      </w:tr>
      <w:tr w14:paraId="69DA2277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303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1D1B2BA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244C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4D9B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1090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8A0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F9D1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14:paraId="76F2D3B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9286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D3F532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DC4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能够非常好地通过实践活动拓展知识，掌握技能，学会与他人沟通合作；能运用基本的信息技术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16DB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能够很好地通过实践活动拓展知识，掌握技能，学会与他人沟通合作；能运用基本的信息技术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A9CA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能够较好地通过实践活动拓展知识，掌握技能，学会与他人沟通合作；能运用基本的信息技术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7D19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能够基本做到通过实践活动拓展知识，掌握技能，学会与他人沟通合作；能运用基本的信息技术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F4B9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不能通过实践活动拓展知识，掌握技能，学会与他人沟通合作；能运用基本的信息技术</w:t>
            </w:r>
          </w:p>
        </w:tc>
      </w:tr>
    </w:tbl>
    <w:p w14:paraId="5CB1E03C">
      <w:pPr>
        <w:widowControl/>
        <w:spacing w:line="20" w:lineRule="exact"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10126"/>
    <w:rsid w:val="00022CBB"/>
    <w:rsid w:val="0002473F"/>
    <w:rsid w:val="00024A44"/>
    <w:rsid w:val="0003779E"/>
    <w:rsid w:val="00041CFE"/>
    <w:rsid w:val="00042FA6"/>
    <w:rsid w:val="00047A57"/>
    <w:rsid w:val="00074A40"/>
    <w:rsid w:val="00077A5F"/>
    <w:rsid w:val="000B0690"/>
    <w:rsid w:val="000B5E6B"/>
    <w:rsid w:val="000B70AB"/>
    <w:rsid w:val="000D2091"/>
    <w:rsid w:val="000F054A"/>
    <w:rsid w:val="00122154"/>
    <w:rsid w:val="001510AD"/>
    <w:rsid w:val="00153F74"/>
    <w:rsid w:val="00156B1C"/>
    <w:rsid w:val="00176157"/>
    <w:rsid w:val="0018230A"/>
    <w:rsid w:val="0019255F"/>
    <w:rsid w:val="0019758B"/>
    <w:rsid w:val="001C23A1"/>
    <w:rsid w:val="001E5724"/>
    <w:rsid w:val="001F646C"/>
    <w:rsid w:val="002031BE"/>
    <w:rsid w:val="0021128E"/>
    <w:rsid w:val="00211958"/>
    <w:rsid w:val="0022305A"/>
    <w:rsid w:val="00224235"/>
    <w:rsid w:val="002345DD"/>
    <w:rsid w:val="002377FF"/>
    <w:rsid w:val="00242673"/>
    <w:rsid w:val="00256FC3"/>
    <w:rsid w:val="00281F0E"/>
    <w:rsid w:val="00285327"/>
    <w:rsid w:val="002A3078"/>
    <w:rsid w:val="002A63CC"/>
    <w:rsid w:val="002A7568"/>
    <w:rsid w:val="002C3EC3"/>
    <w:rsid w:val="002C5991"/>
    <w:rsid w:val="002F71C5"/>
    <w:rsid w:val="003121B5"/>
    <w:rsid w:val="00313A87"/>
    <w:rsid w:val="00322986"/>
    <w:rsid w:val="00341998"/>
    <w:rsid w:val="0034254B"/>
    <w:rsid w:val="00366542"/>
    <w:rsid w:val="0037260D"/>
    <w:rsid w:val="003738C0"/>
    <w:rsid w:val="003771BC"/>
    <w:rsid w:val="003859D9"/>
    <w:rsid w:val="0038665C"/>
    <w:rsid w:val="00395FF0"/>
    <w:rsid w:val="003A10BA"/>
    <w:rsid w:val="003B424B"/>
    <w:rsid w:val="003B4675"/>
    <w:rsid w:val="003D264D"/>
    <w:rsid w:val="003F5FCD"/>
    <w:rsid w:val="004070CF"/>
    <w:rsid w:val="004077B2"/>
    <w:rsid w:val="00441EEE"/>
    <w:rsid w:val="0044332D"/>
    <w:rsid w:val="00475B8E"/>
    <w:rsid w:val="00481EDA"/>
    <w:rsid w:val="004D31CE"/>
    <w:rsid w:val="004E3A79"/>
    <w:rsid w:val="004F4BBA"/>
    <w:rsid w:val="004F4FBA"/>
    <w:rsid w:val="00517E9C"/>
    <w:rsid w:val="00522EB4"/>
    <w:rsid w:val="005266F3"/>
    <w:rsid w:val="00536580"/>
    <w:rsid w:val="00541BB4"/>
    <w:rsid w:val="00577F88"/>
    <w:rsid w:val="00586E0C"/>
    <w:rsid w:val="00587877"/>
    <w:rsid w:val="005A0378"/>
    <w:rsid w:val="005A2657"/>
    <w:rsid w:val="005B59D7"/>
    <w:rsid w:val="006123B5"/>
    <w:rsid w:val="006242B2"/>
    <w:rsid w:val="00652E7D"/>
    <w:rsid w:val="00665621"/>
    <w:rsid w:val="006702CA"/>
    <w:rsid w:val="00674A38"/>
    <w:rsid w:val="006A0C9A"/>
    <w:rsid w:val="006B64BE"/>
    <w:rsid w:val="006C658B"/>
    <w:rsid w:val="006D6C19"/>
    <w:rsid w:val="006E4F82"/>
    <w:rsid w:val="006E53F1"/>
    <w:rsid w:val="006F64C9"/>
    <w:rsid w:val="006F7403"/>
    <w:rsid w:val="0070288A"/>
    <w:rsid w:val="00713B58"/>
    <w:rsid w:val="00730467"/>
    <w:rsid w:val="00744265"/>
    <w:rsid w:val="007508BC"/>
    <w:rsid w:val="007639A2"/>
    <w:rsid w:val="00786632"/>
    <w:rsid w:val="00795475"/>
    <w:rsid w:val="0079561C"/>
    <w:rsid w:val="007C379D"/>
    <w:rsid w:val="007C62ED"/>
    <w:rsid w:val="007C7256"/>
    <w:rsid w:val="007C7379"/>
    <w:rsid w:val="007E39E3"/>
    <w:rsid w:val="007E5C71"/>
    <w:rsid w:val="008128AD"/>
    <w:rsid w:val="008137A1"/>
    <w:rsid w:val="008213CF"/>
    <w:rsid w:val="0082515D"/>
    <w:rsid w:val="008466A4"/>
    <w:rsid w:val="008560E2"/>
    <w:rsid w:val="00861E02"/>
    <w:rsid w:val="0087494D"/>
    <w:rsid w:val="00883E0F"/>
    <w:rsid w:val="00886EBF"/>
    <w:rsid w:val="008937D5"/>
    <w:rsid w:val="008A23B3"/>
    <w:rsid w:val="008A2FA3"/>
    <w:rsid w:val="008A72FC"/>
    <w:rsid w:val="008C087D"/>
    <w:rsid w:val="008E1815"/>
    <w:rsid w:val="00912372"/>
    <w:rsid w:val="00923902"/>
    <w:rsid w:val="0093789B"/>
    <w:rsid w:val="00960F56"/>
    <w:rsid w:val="00993FFC"/>
    <w:rsid w:val="009B16F7"/>
    <w:rsid w:val="009B7FCE"/>
    <w:rsid w:val="009C0272"/>
    <w:rsid w:val="009C1DC3"/>
    <w:rsid w:val="009C5B55"/>
    <w:rsid w:val="009C5F54"/>
    <w:rsid w:val="009E1549"/>
    <w:rsid w:val="00A03BBD"/>
    <w:rsid w:val="00A25AE4"/>
    <w:rsid w:val="00A41F8C"/>
    <w:rsid w:val="00A61EFD"/>
    <w:rsid w:val="00A7725F"/>
    <w:rsid w:val="00A948BB"/>
    <w:rsid w:val="00A960F1"/>
    <w:rsid w:val="00A976FC"/>
    <w:rsid w:val="00AA4570"/>
    <w:rsid w:val="00AA630A"/>
    <w:rsid w:val="00AB3F03"/>
    <w:rsid w:val="00AB609E"/>
    <w:rsid w:val="00AC29E5"/>
    <w:rsid w:val="00AD2305"/>
    <w:rsid w:val="00AE3D1A"/>
    <w:rsid w:val="00AF04C8"/>
    <w:rsid w:val="00AF1E0E"/>
    <w:rsid w:val="00AF4D87"/>
    <w:rsid w:val="00B03909"/>
    <w:rsid w:val="00B23DD3"/>
    <w:rsid w:val="00B27F02"/>
    <w:rsid w:val="00B3276D"/>
    <w:rsid w:val="00B327A1"/>
    <w:rsid w:val="00B40ECD"/>
    <w:rsid w:val="00B65432"/>
    <w:rsid w:val="00B81B52"/>
    <w:rsid w:val="00BA019F"/>
    <w:rsid w:val="00BA23F0"/>
    <w:rsid w:val="00BB1A4F"/>
    <w:rsid w:val="00BC30B1"/>
    <w:rsid w:val="00BD5EE8"/>
    <w:rsid w:val="00BF669C"/>
    <w:rsid w:val="00C00798"/>
    <w:rsid w:val="00C1306A"/>
    <w:rsid w:val="00C21EA7"/>
    <w:rsid w:val="00C36BEA"/>
    <w:rsid w:val="00C51E19"/>
    <w:rsid w:val="00C54636"/>
    <w:rsid w:val="00C81064"/>
    <w:rsid w:val="00C95501"/>
    <w:rsid w:val="00CA53B2"/>
    <w:rsid w:val="00CB4E95"/>
    <w:rsid w:val="00CC2F68"/>
    <w:rsid w:val="00CC4D22"/>
    <w:rsid w:val="00CD0B82"/>
    <w:rsid w:val="00CE71BC"/>
    <w:rsid w:val="00D02A8C"/>
    <w:rsid w:val="00D02F99"/>
    <w:rsid w:val="00D12116"/>
    <w:rsid w:val="00D1241F"/>
    <w:rsid w:val="00D13271"/>
    <w:rsid w:val="00D14471"/>
    <w:rsid w:val="00D30FD0"/>
    <w:rsid w:val="00D36236"/>
    <w:rsid w:val="00D417A1"/>
    <w:rsid w:val="00D504B7"/>
    <w:rsid w:val="00D57048"/>
    <w:rsid w:val="00D715F7"/>
    <w:rsid w:val="00D912F5"/>
    <w:rsid w:val="00DA2737"/>
    <w:rsid w:val="00DA3845"/>
    <w:rsid w:val="00DB2900"/>
    <w:rsid w:val="00DB632B"/>
    <w:rsid w:val="00DD7B5F"/>
    <w:rsid w:val="00DE7849"/>
    <w:rsid w:val="00DF2A9D"/>
    <w:rsid w:val="00E05E8B"/>
    <w:rsid w:val="00E20A96"/>
    <w:rsid w:val="00E3317B"/>
    <w:rsid w:val="00E366AB"/>
    <w:rsid w:val="00E76E34"/>
    <w:rsid w:val="00EA5B22"/>
    <w:rsid w:val="00EB3DB1"/>
    <w:rsid w:val="00EC1F6E"/>
    <w:rsid w:val="00ED792C"/>
    <w:rsid w:val="00ED7F81"/>
    <w:rsid w:val="00F113F8"/>
    <w:rsid w:val="00F147B2"/>
    <w:rsid w:val="00F14AC5"/>
    <w:rsid w:val="00F20BD0"/>
    <w:rsid w:val="00F216F1"/>
    <w:rsid w:val="00F56396"/>
    <w:rsid w:val="00F80DF9"/>
    <w:rsid w:val="00F93E77"/>
    <w:rsid w:val="00F9654D"/>
    <w:rsid w:val="00FA0714"/>
    <w:rsid w:val="00FA6038"/>
    <w:rsid w:val="00FB77A1"/>
    <w:rsid w:val="00FB7B26"/>
    <w:rsid w:val="00FC24B5"/>
    <w:rsid w:val="00FC7C42"/>
    <w:rsid w:val="00FD167F"/>
    <w:rsid w:val="00FD513F"/>
    <w:rsid w:val="4D243CA9"/>
    <w:rsid w:val="5BE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1302</Words>
  <Characters>7422</Characters>
  <Lines>61</Lines>
  <Paragraphs>17</Paragraphs>
  <TotalTime>745</TotalTime>
  <ScaleCrop>false</ScaleCrop>
  <LinksUpToDate>false</LinksUpToDate>
  <CharactersWithSpaces>8707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2021-09-30T21:00:00Z</dcterms:created>
  <dc:creator>Windows User</dc:creator>
  <cp:lastModifiedBy>吴宇征</cp:lastModifiedBy>
  <cp:lastPrinted>2020-12-24T15:17:00Z</cp:lastPrinted>
  <dcterms:modified xsi:type="dcterms:W3CDTF">2025-03-18T09:35:24Z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7C3AF4016FF19980DCCDD867B82E62A3_42</vt:lpwstr>
  </property>
</Properties>
</file>