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黑体"/>
          <w:b/>
          <w:bCs/>
          <w:sz w:val="32"/>
        </w:rPr>
        <w:t>《初级俄语口语（一）</w:t>
      </w:r>
      <w:bookmarkStart w:id="0" w:name="_GoBack"/>
      <w:bookmarkEnd w:id="0"/>
      <w:r>
        <w:rPr>
          <w:rFonts w:ascii="Times New Roman" w:hAnsi="Times New Roman" w:eastAsia="黑体"/>
          <w:b/>
          <w:bCs/>
          <w:sz w:val="32"/>
        </w:rPr>
        <w:t>》</w:t>
      </w:r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Elementary Oral Russian 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RUSS3049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俄语专业二年级学生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Natalia Kazbekova, Anastasia Politova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2023-1-5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</w:rPr>
              <w:t>大学俄语</w:t>
            </w:r>
            <w:r>
              <w:rPr>
                <w:rFonts w:ascii="Times New Roman" w:hAnsi="Times New Roman"/>
                <w:lang w:val="ru-RU"/>
              </w:rPr>
              <w:t>（</w:t>
            </w:r>
            <w:r>
              <w:rPr>
                <w:rFonts w:ascii="Times New Roman" w:hAnsi="Times New Roman"/>
              </w:rPr>
              <w:t>新版</w:t>
            </w:r>
            <w:r>
              <w:rPr>
                <w:rFonts w:ascii="Times New Roman" w:hAnsi="Times New Roman"/>
                <w:lang w:val="ru-RU"/>
              </w:rPr>
              <w:t>）</w:t>
            </w:r>
            <w:r>
              <w:rPr>
                <w:rFonts w:ascii="Times New Roman" w:hAnsi="Times New Roman"/>
              </w:rPr>
              <w:t>口语教程</w:t>
            </w:r>
            <w:r>
              <w:rPr>
                <w:rFonts w:ascii="Times New Roman" w:hAnsi="Times New Roman"/>
                <w:lang w:val="ru-RU"/>
              </w:rPr>
              <w:t>1，</w:t>
            </w:r>
            <w:r>
              <w:rPr>
                <w:rFonts w:ascii="Times New Roman" w:hAnsi="Times New Roman"/>
              </w:rPr>
              <w:t>主编</w:t>
            </w:r>
            <w:r>
              <w:rPr>
                <w:rFonts w:ascii="Times New Roman" w:hAnsi="Times New Roman"/>
                <w:lang w:val="ru-RU"/>
              </w:rPr>
              <w:t>：</w:t>
            </w:r>
            <w:r>
              <w:rPr>
                <w:rFonts w:ascii="Times New Roman" w:hAnsi="Times New Roman"/>
              </w:rPr>
              <w:t>黄玫</w:t>
            </w:r>
            <w:r>
              <w:rPr>
                <w:rFonts w:ascii="Times New Roman" w:hAnsi="Times New Roman"/>
                <w:lang w:val="ru-RU"/>
              </w:rPr>
              <w:t>，</w:t>
            </w:r>
            <w:r>
              <w:rPr>
                <w:rFonts w:ascii="Times New Roman" w:hAnsi="Times New Roman"/>
              </w:rPr>
              <w:t>外语教学与研究出版社</w:t>
            </w:r>
            <w:r>
              <w:rPr>
                <w:rFonts w:ascii="Times New Roman" w:hAnsi="Times New Roman"/>
                <w:lang w:val="ru-RU"/>
              </w:rPr>
              <w:t>，2012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 w:line="360" w:lineRule="auto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初级俄语口语</w:t>
      </w:r>
      <w:r>
        <w:rPr>
          <w:rFonts w:hint="eastAsia" w:ascii="Times New Roman" w:hAnsi="Times New Roman"/>
          <w:szCs w:val="21"/>
        </w:rPr>
        <w:t>是俄语专业学生的大类基础课程，</w:t>
      </w:r>
      <w:r>
        <w:rPr>
          <w:rFonts w:ascii="Times New Roman" w:hAnsi="Times New Roman"/>
          <w:szCs w:val="21"/>
        </w:rPr>
        <w:t>是</w:t>
      </w:r>
      <w:r>
        <w:rPr>
          <w:rFonts w:hint="eastAsia" w:ascii="Times New Roman" w:hAnsi="Times New Roman"/>
          <w:szCs w:val="21"/>
        </w:rPr>
        <w:t>学生在</w:t>
      </w:r>
      <w:r>
        <w:rPr>
          <w:rFonts w:ascii="Times New Roman" w:hAnsi="Times New Roman"/>
          <w:szCs w:val="21"/>
        </w:rPr>
        <w:t>已具备一定俄语词汇量、语法知识及基本句法知识，文化知识的基础上着重培养学生开口说俄语的能力。日常说话的语言和书面语言，写文章的语言是有区别的。这种区别不仅表现在读音上、语调上，更表现在用词造句上。</w:t>
      </w:r>
      <w:r>
        <w:rPr>
          <w:rFonts w:hint="eastAsia" w:ascii="Times New Roman" w:hAnsi="Times New Roman"/>
          <w:szCs w:val="21"/>
        </w:rPr>
        <w:t>学习外语过程中</w:t>
      </w:r>
      <w:r>
        <w:rPr>
          <w:rFonts w:ascii="Times New Roman" w:hAnsi="Times New Roman"/>
          <w:szCs w:val="21"/>
        </w:rPr>
        <w:t>，口语交际的需要越来越多，为了更好地进行口头交际，应该掌握俄语口语的特点和基本规则，使我们用俄语说的话不要造成“跟书本语言一样” 的偏差。本课程内容涉及俄罗斯人民日常生活各个方面，如交际用语、学习、工作、履历、饮食、交通、生活服务、邮政电话、旅游旅馆、城市、商店、健康以及文化艺术等，题材全面广泛，语言生动活泼，脱俗与一般机械口语对话，选用富有趣味的情景，并且运用了现代生活中的一些新词语，帮助学生提高学习兴趣和掌握当代实用俄语口语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巩固已学习的</w:t>
      </w:r>
      <w:r>
        <w:rPr>
          <w:rFonts w:ascii="Times New Roman" w:hAnsi="Times New Roman"/>
          <w:szCs w:val="21"/>
        </w:rPr>
        <w:t>词汇、语法知识及基本句法知识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ascii="Times New Roman" w:hAnsi="Times New Roman"/>
          <w:szCs w:val="21"/>
        </w:rPr>
        <w:t>理解</w:t>
      </w:r>
      <w:r>
        <w:rPr>
          <w:rFonts w:ascii="Times New Roman" w:hAnsi="Times New Roman"/>
          <w:szCs w:val="21"/>
        </w:rPr>
        <w:t>俄语口语的特点</w:t>
      </w:r>
      <w:r>
        <w:rPr>
          <w:rFonts w:hint="eastAsia" w:ascii="Times New Roman" w:hAnsi="Times New Roman"/>
          <w:szCs w:val="21"/>
        </w:rPr>
        <w:t>、熟悉语音、语调、常用句法结构。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能够就日常生活主题进行口语表述和对话。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2237"/>
        <w:gridCol w:w="1843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巩固已学习的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理解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、熟悉语音、语调、常用句法结构。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2237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能够就日常生活主题进行口语表述和对话。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4：</w:t>
            </w:r>
            <w:r>
              <w:rPr>
                <w:rFonts w:hint="eastAsia" w:hAnsi="宋体"/>
              </w:rPr>
              <w:t>理解当代中国，发出中国声音，讲好中国故事，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第一章 </w:t>
      </w:r>
      <w:r>
        <w:rPr>
          <w:rFonts w:ascii="宋体" w:hAnsi="宋体" w:eastAsia="宋体" w:cs="宋体"/>
          <w:color w:val="000000"/>
          <w:kern w:val="0"/>
          <w:szCs w:val="21"/>
        </w:rPr>
        <w:t>俄语口语概论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教学目标：理解俄语口语的特点。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教学重难点：理论概念的理解。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什么是口语？与书面书的区别是什么？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第二章 </w:t>
      </w:r>
      <w:r>
        <w:rPr>
          <w:rFonts w:ascii="宋体" w:hAnsi="宋体" w:eastAsia="宋体"/>
          <w:szCs w:val="21"/>
        </w:rPr>
        <w:t>标准语、口语规范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教学目标：理解俄语标准语和口语的区别。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教学重难点：理论概念的理解。</w:t>
      </w:r>
    </w:p>
    <w:p>
      <w:pPr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（1）什么是标准语？其特点是什么？（2）语体是如何划分的？有哪些分类？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第三章 </w:t>
      </w:r>
      <w:r>
        <w:rPr>
          <w:rFonts w:ascii="宋体" w:hAnsi="宋体" w:eastAsia="宋体"/>
          <w:szCs w:val="21"/>
        </w:rPr>
        <w:t>俄语口语语音方面的特点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教学目标：理解俄语口语语音方面的特点。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教学重难点：掌握相关理论知识。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俄语口语在语音方面有哪些特点？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第四章 </w:t>
      </w:r>
      <w:r>
        <w:rPr>
          <w:rFonts w:ascii="宋体" w:hAnsi="宋体" w:eastAsia="宋体"/>
          <w:szCs w:val="21"/>
        </w:rPr>
        <w:t>俄语口语的词汇特点及特殊称名方法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</w:t>
      </w:r>
      <w:r>
        <w:rPr>
          <w:rFonts w:ascii="宋体" w:hAnsi="宋体" w:eastAsia="宋体"/>
          <w:szCs w:val="21"/>
        </w:rPr>
        <w:t>口语的词汇特点及特殊称名方法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教学重难点：掌握相关理论知识。</w:t>
      </w:r>
    </w:p>
    <w:p>
      <w:pPr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（1）俄语口语在词汇上有何特点？（2）俄语口语在称名方法上有何特点？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第五章 </w:t>
      </w:r>
      <w:r>
        <w:rPr>
          <w:rFonts w:ascii="宋体" w:hAnsi="宋体" w:eastAsia="宋体"/>
          <w:szCs w:val="21"/>
        </w:rPr>
        <w:t>俄语口语的词法特点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</w:t>
      </w:r>
      <w:r>
        <w:rPr>
          <w:rFonts w:ascii="宋体" w:hAnsi="宋体" w:eastAsia="宋体"/>
          <w:szCs w:val="21"/>
        </w:rPr>
        <w:t>口语的词法特点</w:t>
      </w:r>
      <w:r>
        <w:rPr>
          <w:rFonts w:hint="eastAsia" w:ascii="宋体" w:hAnsi="宋体" w:eastAsia="宋体"/>
          <w:szCs w:val="21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教学重难点：掌握相关理论知识。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俄语口语在词法上有何特点？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第六章 </w:t>
      </w:r>
      <w:r>
        <w:rPr>
          <w:rFonts w:ascii="宋体" w:hAnsi="宋体" w:eastAsia="宋体"/>
          <w:szCs w:val="21"/>
        </w:rPr>
        <w:t>俄语口语的句法特点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教学目标：理解俄语口语的句法特点。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教学重难点：掌握相关理论知识。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俄语口语在句法上有何特点？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第七章 </w:t>
      </w:r>
      <w:r>
        <w:rPr>
          <w:rFonts w:ascii="宋体" w:hAnsi="宋体" w:eastAsia="宋体"/>
          <w:szCs w:val="21"/>
        </w:rPr>
        <w:t>日常口语中的应酬用语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教学目标：掌握俄语口语中的应酬语。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俄语口语中常见的应酬用语有哪些？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第八章 </w:t>
      </w:r>
      <w:r>
        <w:rPr>
          <w:rFonts w:ascii="宋体" w:hAnsi="宋体" w:eastAsia="宋体"/>
          <w:szCs w:val="21"/>
        </w:rPr>
        <w:t>日常口语中的称呼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教学目标：掌握俄语日常口语中的称呼。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在俄语日常口语中，如何表达称呼？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第九章 </w:t>
      </w:r>
      <w:r>
        <w:rPr>
          <w:rFonts w:ascii="宋体" w:hAnsi="宋体" w:eastAsia="宋体"/>
          <w:szCs w:val="21"/>
        </w:rPr>
        <w:t>口语句式引论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教学目标：理解俄语口语句式。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教学重难点：掌握相关理论知识。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俄语口语中的句式有何特点？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第十章 </w:t>
      </w:r>
      <w:r>
        <w:rPr>
          <w:rFonts w:ascii="宋体" w:hAnsi="宋体" w:eastAsia="宋体"/>
          <w:szCs w:val="21"/>
        </w:rPr>
        <w:t>常用俄语口语句式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教学目标：掌握俄语口语常用句式。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在俄语口语中，常用的口语句式有哪些？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第十一章 </w:t>
      </w:r>
      <w:r>
        <w:rPr>
          <w:rFonts w:ascii="宋体" w:hAnsi="宋体" w:eastAsia="宋体"/>
          <w:szCs w:val="21"/>
        </w:rPr>
        <w:t>表达陈述的句式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教学目标：掌握俄语口语中陈述的表达方式。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在俄语口语中，如何表达陈述？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第十二章 </w:t>
      </w:r>
      <w:r>
        <w:rPr>
          <w:rFonts w:ascii="宋体" w:hAnsi="宋体" w:eastAsia="宋体"/>
          <w:szCs w:val="21"/>
        </w:rPr>
        <w:t>表达肯定或否定的句式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教学目标：掌握俄语口语中肯定和否定的表达方式。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在俄语口语中，如何表达肯定、否定？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第十三章 </w:t>
      </w:r>
      <w:r>
        <w:rPr>
          <w:rFonts w:ascii="宋体" w:hAnsi="宋体" w:eastAsia="宋体"/>
          <w:szCs w:val="21"/>
        </w:rPr>
        <w:t>表达褒贬评价的句式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教学目标：掌握俄语口语中褒贬评价的表达方式。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在俄语口语中，如何表达褒贬评价？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第十四章 </w:t>
      </w:r>
      <w:r>
        <w:rPr>
          <w:rFonts w:ascii="宋体" w:hAnsi="宋体" w:eastAsia="宋体"/>
          <w:szCs w:val="21"/>
        </w:rPr>
        <w:t>表达祈使、愿望、威吓、咒誓的句式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教学目标：掌握俄语口语中祁使、愿望、威吓、咒誓的表达方式。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在俄语口语中，如何表达祈使、愿望、威吓、咒誓？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第十五章 </w:t>
      </w:r>
      <w:r>
        <w:rPr>
          <w:rFonts w:ascii="宋体" w:hAnsi="宋体" w:eastAsia="宋体"/>
          <w:szCs w:val="21"/>
        </w:rPr>
        <w:t>表达疑问、疑虑的句式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教学目标：掌握俄语口语中疑问和疑虑的表达方式。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在俄语口语中，如何表达疑问、疑虑？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第十六章 </w:t>
      </w:r>
      <w:r>
        <w:rPr>
          <w:rFonts w:ascii="宋体" w:hAnsi="宋体" w:eastAsia="宋体"/>
          <w:szCs w:val="21"/>
        </w:rPr>
        <w:t>日常口语中的请求、劝告等的表达法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教学目标：掌握俄语口语中请求、劝告等的表达方式。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在俄语日常口语中，如何表达请求和劝告？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第十七章 </w:t>
      </w:r>
      <w:r>
        <w:rPr>
          <w:rFonts w:ascii="宋体" w:hAnsi="宋体" w:eastAsia="宋体"/>
          <w:szCs w:val="21"/>
        </w:rPr>
        <w:t>表达对别、让步、条件、同意等意念的句式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教学目标：掌握俄语口语中对别、让步、条件、同意等意念的表达方式。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教学重难点：掌握相关表达。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教学内容：</w:t>
      </w:r>
      <w:r>
        <w:rPr>
          <w:rFonts w:ascii="宋体" w:hAnsi="宋体" w:eastAsia="宋体"/>
          <w:szCs w:val="21"/>
        </w:rPr>
        <w:t>在俄语口语中，如何表达对别、让步、条件、同意等意念？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教学方法：讲授法、课堂演练法、讨论法。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val="ru-RU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教学评价：考勤、课堂互动、课后练习。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961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俄语口语概论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标准语、口语规范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俄语口语语音方面的特点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俄语口语的词汇特点及特殊称名方法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俄语口语的词法特点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俄语口语的句法特点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日常口语中的应酬用语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日常口语中的称呼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口语句式引论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常用俄语口语句式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表达陈述的句式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表达肯定或否定的句式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表达褒贬评价的句式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表达祈使、愿望、威吓、咒誓的句式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表达疑问、疑虑的句式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日常口语中的请求、劝告等的表达法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49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Cs w:val="21"/>
              </w:rPr>
              <w:t>表达对别、让步、条件、同意等意念的句式</w:t>
            </w:r>
          </w:p>
        </w:tc>
        <w:tc>
          <w:tcPr>
            <w:tcW w:w="1780" w:type="dxa"/>
          </w:tcPr>
          <w:p>
            <w:pPr>
              <w:jc w:val="center"/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93"/>
        <w:gridCol w:w="1134"/>
        <w:gridCol w:w="1843"/>
        <w:gridCol w:w="850"/>
        <w:gridCol w:w="1727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7"/>
              </w:num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1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2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3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4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5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第十三章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6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第十四章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7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第十五章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8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第十六章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19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二（上）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第十七章</w:t>
            </w:r>
          </w:p>
        </w:tc>
        <w:tc>
          <w:tcPr>
            <w:tcW w:w="1843" w:type="dxa"/>
            <w:vAlign w:val="center"/>
          </w:tcPr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理论讲授</w:t>
            </w:r>
          </w:p>
          <w:p>
            <w:pPr>
              <w:pStyle w:val="2"/>
              <w:numPr>
                <w:ilvl w:val="0"/>
                <w:numId w:val="20"/>
              </w:numPr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专题训练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eastAsia="宋体"/>
                <w:lang w:val="ru-RU"/>
              </w:rPr>
              <w:t>2</w:t>
            </w:r>
          </w:p>
        </w:tc>
        <w:tc>
          <w:tcPr>
            <w:tcW w:w="1727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作业：完成课后练习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要求：及时巩固课堂学习内容，并能够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结合相关主题熟练演练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宋体" w:cs="Times New Roman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课堂</w:t>
            </w:r>
            <w:r>
              <w:rPr>
                <w:rFonts w:hint="eastAsia" w:ascii="Times New Roman" w:hAnsi="Times New Roman" w:eastAsia="宋体" w:cs="Times New Roman"/>
                <w:szCs w:val="21"/>
                <w:lang w:val="ru-RU"/>
              </w:rPr>
              <w:t>互动</w:t>
            </w:r>
            <w:r>
              <w:rPr>
                <w:rFonts w:ascii="Times New Roman" w:hAnsi="Times New Roman" w:eastAsia="宋体" w:cs="Times New Roman"/>
                <w:szCs w:val="21"/>
                <w:lang w:val="ru-RU"/>
              </w:rPr>
              <w:t>、课后练习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Земская Е.А. Русская разговорная речь: лингвистический анализ и проблемы обучения. М., 1987.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Кожин А. и др. Функциональные типы русской речи. М., 1982.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Лаптева О.А. Русский разговорный синтаксис. М., 1976.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Русская грамматика. АН СССР. М., 1980.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Русская разговорная речь. Под ред. Е.А.Земской. АН СССР. М., 1973.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Сиротинина О. Русская разговорная речь и ее особенности. М., 1974.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Сиротинина О. Что и зачем нужно знать учителю о русской разговорной речи. М., 1996.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Словарь современного русского литературного языка в 17 томах.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Шведова Н.Ю. Очерки по синтаксису русской разговорной речи. М., 1960.</w:t>
      </w:r>
    </w:p>
    <w:p>
      <w:pPr>
        <w:pStyle w:val="13"/>
        <w:numPr>
          <w:ilvl w:val="0"/>
          <w:numId w:val="21"/>
        </w:numPr>
        <w:snapToGrid w:val="0"/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1"/>
        </w:rPr>
        <w:t>张会森编著，《俄语口语及常用口语句式》，北京大学出版社，2009年</w:t>
      </w:r>
      <w:r>
        <w:rPr>
          <w:rFonts w:hint="eastAsia" w:ascii="Times New Roman" w:hAnsi="Times New Roman"/>
          <w:szCs w:val="21"/>
        </w:rPr>
        <w:t>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教师课堂系统讲授课程内容，帮助学生理解相关知识，掌握相关技能。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2．课堂演练法：在教师的指导下，分组进行对话演练，掌握相关表达方式，感受角色。</w:t>
      </w:r>
    </w:p>
    <w:p>
      <w:pPr>
        <w:widowControl/>
        <w:spacing w:before="156" w:beforeLines="50" w:after="156" w:afterLines="5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讨论法：</w:t>
      </w:r>
      <w:r>
        <w:rPr>
          <w:rFonts w:hint="eastAsia" w:ascii="宋体" w:hAnsi="宋体" w:eastAsia="宋体" w:cs="TimesNewRomanPSMT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巩固已学习的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理解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、熟悉语音、语调、常用句法结构。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能够就日常生活主题进行口语表述和对话。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课堂互动、课后作业、期中考试、期末考试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平时成绩：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，期中考试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，课程目标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占总评</w:t>
            </w:r>
            <w: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熟练掌握已学的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较为熟练掌握已学的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基本掌握已学的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掌握一般。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对已学的</w:t>
            </w:r>
            <w:r>
              <w:rPr>
                <w:rFonts w:ascii="Times New Roman" w:hAnsi="Times New Roman"/>
                <w:szCs w:val="21"/>
              </w:rPr>
              <w:t>词汇、语法知识及基本句法知识</w:t>
            </w:r>
            <w:r>
              <w:rPr>
                <w:rFonts w:hint="eastAsia" w:ascii="Times New Roman" w:hAnsi="Times New Roman"/>
                <w:szCs w:val="21"/>
              </w:rPr>
              <w:t>掌握不理想。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、语音、语调、常用句法结构理解程度很好。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、语音、语调、常用句法结构理解程度较好。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、语音、语调、常用句法结构理解程度尚可。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对</w:t>
            </w:r>
            <w:r>
              <w:rPr>
                <w:rFonts w:ascii="Times New Roman" w:hAnsi="Times New Roman"/>
                <w:szCs w:val="21"/>
              </w:rPr>
              <w:t>俄语口语的特点</w:t>
            </w:r>
            <w:r>
              <w:rPr>
                <w:rFonts w:hint="eastAsia" w:ascii="Times New Roman" w:hAnsi="Times New Roman"/>
                <w:szCs w:val="21"/>
              </w:rPr>
              <w:t>、语音、语调、常用句法结构理解程度较差。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能够很好地就日常生活主题进行口语表述和对话。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能够较好地就日常生活主题进行口语表述和对话。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基本上能够就日常生活主题进行口语表述和对话。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就日常生活主题进行口语表述和对话的能力一般。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就日常生活主题进行口语表述和对话的能力较差。</w:t>
            </w:r>
          </w:p>
        </w:tc>
      </w:tr>
    </w:tbl>
    <w:p>
      <w:pPr>
        <w:jc w:val="right"/>
        <w:rPr>
          <w:rFonts w:ascii="宋体" w:hAnsi="宋体" w:eastAsia="宋体"/>
          <w:b/>
          <w:bCs/>
        </w:rPr>
      </w:pPr>
    </w:p>
    <w:p>
      <w:pPr>
        <w:jc w:val="right"/>
        <w:rPr>
          <w:rFonts w:ascii="宋体" w:hAnsi="宋体" w:eastAsia="宋体"/>
          <w:b/>
          <w:bCs/>
        </w:rPr>
      </w:pPr>
    </w:p>
    <w:p>
      <w:pPr>
        <w:jc w:val="right"/>
        <w:rPr>
          <w:rFonts w:ascii="宋体" w:hAnsi="宋体" w:eastAsia="宋体"/>
          <w:b/>
          <w:bCs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D67C6F"/>
    <w:multiLevelType w:val="multilevel"/>
    <w:tmpl w:val="09D67C6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01ED8"/>
    <w:multiLevelType w:val="multilevel"/>
    <w:tmpl w:val="13A01ED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704A3"/>
    <w:multiLevelType w:val="multilevel"/>
    <w:tmpl w:val="153704A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A430C"/>
    <w:multiLevelType w:val="multilevel"/>
    <w:tmpl w:val="1A9A430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8728B"/>
    <w:multiLevelType w:val="multilevel"/>
    <w:tmpl w:val="1CB8728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D43DB"/>
    <w:multiLevelType w:val="multilevel"/>
    <w:tmpl w:val="1F2D43D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61BBE"/>
    <w:multiLevelType w:val="multilevel"/>
    <w:tmpl w:val="26861BB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30308"/>
    <w:multiLevelType w:val="multilevel"/>
    <w:tmpl w:val="2D03030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D6A09"/>
    <w:multiLevelType w:val="multilevel"/>
    <w:tmpl w:val="2EED6A0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E4015"/>
    <w:multiLevelType w:val="multilevel"/>
    <w:tmpl w:val="2F6E401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9257B"/>
    <w:multiLevelType w:val="multilevel"/>
    <w:tmpl w:val="36F9257B"/>
    <w:lvl w:ilvl="0" w:tentative="0">
      <w:start w:val="1"/>
      <w:numFmt w:val="decimal"/>
      <w:lvlText w:val="%1."/>
      <w:lvlJc w:val="left"/>
      <w:pPr>
        <w:ind w:left="1140" w:hanging="360"/>
      </w:pPr>
    </w:lvl>
    <w:lvl w:ilvl="1" w:tentative="0">
      <w:start w:val="1"/>
      <w:numFmt w:val="lowerLetter"/>
      <w:lvlText w:val="%2."/>
      <w:lvlJc w:val="left"/>
      <w:pPr>
        <w:ind w:left="1860" w:hanging="360"/>
      </w:pPr>
    </w:lvl>
    <w:lvl w:ilvl="2" w:tentative="0">
      <w:start w:val="1"/>
      <w:numFmt w:val="lowerRoman"/>
      <w:lvlText w:val="%3."/>
      <w:lvlJc w:val="right"/>
      <w:pPr>
        <w:ind w:left="2580" w:hanging="180"/>
      </w:pPr>
    </w:lvl>
    <w:lvl w:ilvl="3" w:tentative="0">
      <w:start w:val="1"/>
      <w:numFmt w:val="decimal"/>
      <w:lvlText w:val="%4."/>
      <w:lvlJc w:val="left"/>
      <w:pPr>
        <w:ind w:left="3300" w:hanging="360"/>
      </w:pPr>
    </w:lvl>
    <w:lvl w:ilvl="4" w:tentative="0">
      <w:start w:val="1"/>
      <w:numFmt w:val="lowerLetter"/>
      <w:lvlText w:val="%5."/>
      <w:lvlJc w:val="left"/>
      <w:pPr>
        <w:ind w:left="4020" w:hanging="360"/>
      </w:pPr>
    </w:lvl>
    <w:lvl w:ilvl="5" w:tentative="0">
      <w:start w:val="1"/>
      <w:numFmt w:val="lowerRoman"/>
      <w:lvlText w:val="%6."/>
      <w:lvlJc w:val="right"/>
      <w:pPr>
        <w:ind w:left="4740" w:hanging="180"/>
      </w:pPr>
    </w:lvl>
    <w:lvl w:ilvl="6" w:tentative="0">
      <w:start w:val="1"/>
      <w:numFmt w:val="decimal"/>
      <w:lvlText w:val="%7."/>
      <w:lvlJc w:val="left"/>
      <w:pPr>
        <w:ind w:left="5460" w:hanging="360"/>
      </w:pPr>
    </w:lvl>
    <w:lvl w:ilvl="7" w:tentative="0">
      <w:start w:val="1"/>
      <w:numFmt w:val="lowerLetter"/>
      <w:lvlText w:val="%8."/>
      <w:lvlJc w:val="left"/>
      <w:pPr>
        <w:ind w:left="6180" w:hanging="360"/>
      </w:pPr>
    </w:lvl>
    <w:lvl w:ilvl="8" w:tentative="0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3BC538C7"/>
    <w:multiLevelType w:val="multilevel"/>
    <w:tmpl w:val="3BC538C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E0C33"/>
    <w:multiLevelType w:val="multilevel"/>
    <w:tmpl w:val="3DAE0C3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56E49"/>
    <w:multiLevelType w:val="multilevel"/>
    <w:tmpl w:val="3FA56E4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D4324"/>
    <w:multiLevelType w:val="multilevel"/>
    <w:tmpl w:val="3FDD432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76E31"/>
    <w:multiLevelType w:val="multilevel"/>
    <w:tmpl w:val="45976E3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959E3"/>
    <w:multiLevelType w:val="multilevel"/>
    <w:tmpl w:val="4CD959E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71E1A"/>
    <w:multiLevelType w:val="multilevel"/>
    <w:tmpl w:val="59071E1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82486"/>
    <w:multiLevelType w:val="multilevel"/>
    <w:tmpl w:val="7278248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33070"/>
    <w:multiLevelType w:val="multilevel"/>
    <w:tmpl w:val="77D3307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A3B25"/>
    <w:multiLevelType w:val="multilevel"/>
    <w:tmpl w:val="7F7A3B2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3"/>
  </w:num>
  <w:num w:numId="5">
    <w:abstractNumId w:val="12"/>
  </w:num>
  <w:num w:numId="6">
    <w:abstractNumId w:val="5"/>
  </w:num>
  <w:num w:numId="7">
    <w:abstractNumId w:val="19"/>
  </w:num>
  <w:num w:numId="8">
    <w:abstractNumId w:val="18"/>
  </w:num>
  <w:num w:numId="9">
    <w:abstractNumId w:val="1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9"/>
  </w:num>
  <w:num w:numId="15">
    <w:abstractNumId w:val="11"/>
  </w:num>
  <w:num w:numId="16">
    <w:abstractNumId w:val="17"/>
  </w:num>
  <w:num w:numId="17">
    <w:abstractNumId w:val="8"/>
  </w:num>
  <w:num w:numId="18">
    <w:abstractNumId w:val="6"/>
  </w:num>
  <w:num w:numId="19">
    <w:abstractNumId w:val="0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77A5F"/>
    <w:rsid w:val="000D578F"/>
    <w:rsid w:val="000F054A"/>
    <w:rsid w:val="0012536F"/>
    <w:rsid w:val="001969AA"/>
    <w:rsid w:val="001E5724"/>
    <w:rsid w:val="00242673"/>
    <w:rsid w:val="00285327"/>
    <w:rsid w:val="00285A10"/>
    <w:rsid w:val="002903B7"/>
    <w:rsid w:val="002A7568"/>
    <w:rsid w:val="002C66AB"/>
    <w:rsid w:val="002E3E66"/>
    <w:rsid w:val="00313A87"/>
    <w:rsid w:val="00322986"/>
    <w:rsid w:val="0034254B"/>
    <w:rsid w:val="0038665C"/>
    <w:rsid w:val="00397955"/>
    <w:rsid w:val="003D77BB"/>
    <w:rsid w:val="004070CF"/>
    <w:rsid w:val="00410790"/>
    <w:rsid w:val="004A0584"/>
    <w:rsid w:val="004D4A47"/>
    <w:rsid w:val="005203AF"/>
    <w:rsid w:val="005A0378"/>
    <w:rsid w:val="005B1A66"/>
    <w:rsid w:val="005B58C2"/>
    <w:rsid w:val="005E6832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614F6"/>
    <w:rsid w:val="008726C0"/>
    <w:rsid w:val="00886EBF"/>
    <w:rsid w:val="009063DF"/>
    <w:rsid w:val="0094557B"/>
    <w:rsid w:val="009F6EBA"/>
    <w:rsid w:val="00A03BBD"/>
    <w:rsid w:val="00A45C8D"/>
    <w:rsid w:val="00A61EFD"/>
    <w:rsid w:val="00AA4570"/>
    <w:rsid w:val="00AA630A"/>
    <w:rsid w:val="00AC7710"/>
    <w:rsid w:val="00AE2AB8"/>
    <w:rsid w:val="00AE3D1A"/>
    <w:rsid w:val="00B03909"/>
    <w:rsid w:val="00B245EF"/>
    <w:rsid w:val="00B40ECD"/>
    <w:rsid w:val="00B5789A"/>
    <w:rsid w:val="00BA23F0"/>
    <w:rsid w:val="00C00798"/>
    <w:rsid w:val="00C27289"/>
    <w:rsid w:val="00C54636"/>
    <w:rsid w:val="00CA48B1"/>
    <w:rsid w:val="00CA53B2"/>
    <w:rsid w:val="00D02F99"/>
    <w:rsid w:val="00D13271"/>
    <w:rsid w:val="00D14471"/>
    <w:rsid w:val="00D417A1"/>
    <w:rsid w:val="00D45B33"/>
    <w:rsid w:val="00D504B7"/>
    <w:rsid w:val="00D715F7"/>
    <w:rsid w:val="00D95C49"/>
    <w:rsid w:val="00DD7B5F"/>
    <w:rsid w:val="00DE7849"/>
    <w:rsid w:val="00E05B9D"/>
    <w:rsid w:val="00E05E8B"/>
    <w:rsid w:val="00E366AB"/>
    <w:rsid w:val="00E53B84"/>
    <w:rsid w:val="00E76E34"/>
    <w:rsid w:val="00ED7F81"/>
    <w:rsid w:val="00EF304A"/>
    <w:rsid w:val="00F2445F"/>
    <w:rsid w:val="00F33CD7"/>
    <w:rsid w:val="00F56396"/>
    <w:rsid w:val="00F92F79"/>
    <w:rsid w:val="00FB77A1"/>
    <w:rsid w:val="00FC24B5"/>
    <w:rsid w:val="7D73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5554</Words>
  <Characters>6186</Characters>
  <Lines>48</Lines>
  <Paragraphs>13</Paragraphs>
  <TotalTime>0</TotalTime>
  <ScaleCrop>false</ScaleCrop>
  <LinksUpToDate>false</LinksUpToDate>
  <CharactersWithSpaces>6343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Administrator</cp:lastModifiedBy>
  <cp:lastPrinted>2020-12-24T07:17:00Z</cp:lastPrinted>
  <dcterms:modified xsi:type="dcterms:W3CDTF">2023-05-14T09:08:19Z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0EDB20763DF64570833E2637A15C16DD_12</vt:lpwstr>
  </property>
</Properties>
</file>