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莎士比亚作品欣赏</w:t>
      </w:r>
      <w:r>
        <w:rPr>
          <w:rFonts w:hint="eastAsia" w:ascii="黑体" w:hAnsi="黑体" w:eastAsia="黑体"/>
          <w:sz w:val="32"/>
          <w:szCs w:val="32"/>
        </w:rPr>
        <w:t>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Introduction to Shakespeare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ascii="Times New Roman" w:hAnsi="Times New Roman" w:eastAsia="黑体" w:cs="Times New Roman"/>
                <w:kern w:val="0"/>
                <w:szCs w:val="21"/>
              </w:rPr>
              <w:t>ENGL</w:t>
            </w:r>
            <w:r>
              <w:rPr>
                <w:rFonts w:hint="eastAsia" w:ascii="Times New Roman" w:hAnsi="Times New Roman" w:eastAsia="黑体" w:cs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 w:eastAsia="黑体" w:cs="Times New Roman"/>
                <w:kern w:val="0"/>
                <w:szCs w:val="21"/>
              </w:rPr>
              <w:t>01</w:t>
            </w:r>
            <w:r>
              <w:rPr>
                <w:rFonts w:hint="eastAsia" w:ascii="Times New Roman" w:hAnsi="Times New Roman" w:eastAsia="黑体" w:cs="Times New Roman"/>
                <w:kern w:val="0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Times New Roman" w:hAnsi="Times New Roman" w:eastAsia="华文宋体" w:cs="Times New Roman"/>
                <w:szCs w:val="21"/>
              </w:rPr>
              <w:t>专业选修课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英语</w:t>
            </w:r>
            <w:r>
              <w:rPr>
                <w:rFonts w:hint="eastAsia" w:ascii="宋体" w:hAnsi="宋体" w:eastAsia="宋体"/>
                <w:lang w:eastAsia="zh-CN"/>
              </w:rPr>
              <w:t>、</w:t>
            </w:r>
            <w:r>
              <w:rPr>
                <w:rFonts w:hint="eastAsia" w:ascii="宋体" w:hAnsi="宋体" w:eastAsia="宋体"/>
                <w:lang w:val="en-US" w:eastAsia="zh-CN"/>
              </w:rPr>
              <w:t>英语</w:t>
            </w:r>
            <w:r>
              <w:rPr>
                <w:rFonts w:hint="eastAsia" w:ascii="宋体" w:hAnsi="宋体" w:eastAsia="宋体"/>
              </w:rPr>
              <w:t>师范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王雯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2022.11.29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spacing w:before="156" w:beforeLines="50" w:after="156" w:afterLines="50"/>
              <w:rPr>
                <w:rFonts w:hint="eastAsia" w:ascii="Times New Roman" w:hAnsi="Times New Roman" w:eastAsia="华文宋体" w:cs="Times New Roman"/>
                <w:szCs w:val="21"/>
              </w:rPr>
            </w:pPr>
            <w:r>
              <w:rPr>
                <w:rFonts w:hint="eastAsia" w:ascii="Times New Roman" w:hAnsi="Times New Roman" w:eastAsia="华文宋体" w:cs="Times New Roman"/>
                <w:szCs w:val="21"/>
              </w:rPr>
              <w:t>黄必康，《莎士比亚</w:t>
            </w:r>
            <w:r>
              <w:rPr>
                <w:rFonts w:hint="eastAsia" w:ascii="Times New Roman" w:hAnsi="Times New Roman" w:eastAsia="华文宋体" w:cs="Times New Roman"/>
                <w:szCs w:val="21"/>
                <w:lang w:val="en-US" w:eastAsia="zh-CN"/>
              </w:rPr>
              <w:t>名篇</w:t>
            </w:r>
            <w:r>
              <w:rPr>
                <w:rFonts w:hint="eastAsia" w:ascii="Times New Roman" w:hAnsi="Times New Roman" w:eastAsia="华文宋体" w:cs="Times New Roman"/>
                <w:szCs w:val="21"/>
              </w:rPr>
              <w:t>赏</w:t>
            </w:r>
            <w:r>
              <w:rPr>
                <w:rFonts w:hint="eastAsia" w:ascii="Times New Roman" w:hAnsi="Times New Roman" w:eastAsia="华文宋体" w:cs="Times New Roman"/>
                <w:szCs w:val="21"/>
                <w:lang w:val="en-US" w:eastAsia="zh-CN"/>
              </w:rPr>
              <w:t>析</w:t>
            </w:r>
            <w:r>
              <w:rPr>
                <w:rFonts w:hint="eastAsia" w:ascii="Times New Roman" w:hAnsi="Times New Roman" w:eastAsia="华文宋体" w:cs="Times New Roman"/>
                <w:szCs w:val="21"/>
              </w:rPr>
              <w:t xml:space="preserve">》，北京大学出版社， </w:t>
            </w:r>
            <w:r>
              <w:rPr>
                <w:rFonts w:ascii="Times New Roman" w:hAnsi="Times New Roman" w:eastAsia="华文宋体" w:cs="Times New Roman"/>
                <w:szCs w:val="21"/>
              </w:rPr>
              <w:t>20</w:t>
            </w:r>
            <w:r>
              <w:rPr>
                <w:rFonts w:hint="eastAsia" w:ascii="Times New Roman" w:hAnsi="Times New Roman" w:eastAsia="华文宋体" w:cs="Times New Roman"/>
                <w:szCs w:val="21"/>
              </w:rPr>
              <w:t>0</w:t>
            </w:r>
            <w:r>
              <w:rPr>
                <w:rFonts w:ascii="Times New Roman" w:hAnsi="Times New Roman" w:eastAsia="华文宋体" w:cs="Times New Roman"/>
                <w:szCs w:val="21"/>
              </w:rPr>
              <w:t>5</w:t>
            </w:r>
            <w:r>
              <w:rPr>
                <w:rFonts w:hint="eastAsia" w:ascii="Times New Roman" w:hAnsi="Times New Roman" w:eastAsia="华文宋体" w:cs="Times New Roman"/>
                <w:szCs w:val="21"/>
              </w:rPr>
              <w:t>年第1版。</w:t>
            </w:r>
          </w:p>
          <w:p>
            <w:pPr>
              <w:numPr>
                <w:ilvl w:val="0"/>
                <w:numId w:val="1"/>
              </w:numPr>
              <w:spacing w:before="156" w:beforeLines="50" w:after="156" w:afterLines="50"/>
              <w:ind w:left="0" w:leftChars="0" w:firstLine="0" w:firstLineChars="0"/>
              <w:rPr>
                <w:rFonts w:hint="default" w:ascii="Times New Roman" w:hAnsi="Times New Roman" w:eastAsia="华文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szCs w:val="21"/>
                <w:lang w:val="en-US" w:eastAsia="zh-CN"/>
              </w:rPr>
              <w:t>“</w:t>
            </w:r>
            <w:r>
              <w:rPr>
                <w:rFonts w:hint="eastAsia" w:ascii="Times New Roman" w:hAnsi="Times New Roman" w:eastAsia="华文宋体" w:cs="Times New Roman"/>
                <w:szCs w:val="21"/>
                <w:lang w:val="en-US" w:eastAsia="zh-CN"/>
              </w:rPr>
              <w:t>Annotated Shakespeare</w:t>
            </w:r>
            <w:r>
              <w:rPr>
                <w:rFonts w:hint="default" w:ascii="Times New Roman" w:hAnsi="Times New Roman" w:eastAsia="华文宋体" w:cs="Times New Roman"/>
                <w:szCs w:val="21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华文宋体" w:cs="Times New Roman"/>
                <w:szCs w:val="21"/>
                <w:lang w:val="en-US" w:eastAsia="zh-CN"/>
              </w:rPr>
              <w:t xml:space="preserve"> series.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（一）总体目标：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kern w:val="2"/>
          <w:sz w:val="21"/>
          <w:szCs w:val="20"/>
          <w:lang w:val="en-US" w:eastAsia="zh-CN" w:bidi="ar-SA"/>
        </w:rPr>
      </w:pPr>
      <w:r>
        <w:rPr>
          <w:rFonts w:ascii="宋体" w:hAnsi="宋体" w:eastAsia="宋体" w:cs="宋体"/>
          <w:kern w:val="2"/>
          <w:sz w:val="21"/>
          <w:szCs w:val="20"/>
          <w:lang w:val="en-US" w:eastAsia="zh-CN" w:bidi="ar-SA"/>
        </w:rPr>
        <w:t>本课程通过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文本讲解分析、小组戏剧表演、舞台剧影视欣赏等方式</w:t>
      </w:r>
      <w:r>
        <w:rPr>
          <w:rFonts w:ascii="宋体" w:hAnsi="宋体" w:eastAsia="宋体" w:cs="宋体"/>
          <w:kern w:val="2"/>
          <w:sz w:val="21"/>
          <w:szCs w:val="20"/>
          <w:lang w:val="en-US" w:eastAsia="zh-CN" w:bidi="ar-SA"/>
        </w:rPr>
        <w:t>，培养学生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对莎士比亚作品的</w:t>
      </w:r>
      <w:r>
        <w:rPr>
          <w:rFonts w:ascii="宋体" w:hAnsi="宋体" w:eastAsia="宋体" w:cs="宋体"/>
          <w:kern w:val="2"/>
          <w:sz w:val="21"/>
          <w:szCs w:val="20"/>
          <w:lang w:val="en-US" w:eastAsia="zh-CN" w:bidi="ar-SA"/>
        </w:rPr>
        <w:t>阅读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兴趣与理解赏析</w:t>
      </w:r>
      <w:r>
        <w:rPr>
          <w:rFonts w:ascii="宋体" w:hAnsi="宋体" w:eastAsia="宋体" w:cs="宋体"/>
          <w:kern w:val="2"/>
          <w:sz w:val="21"/>
          <w:szCs w:val="20"/>
          <w:lang w:val="en-US" w:eastAsia="zh-CN" w:bidi="ar-SA"/>
        </w:rPr>
        <w:t>能力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，提升学生在人文、艺术等方面的综合素质，同时为英语语言技能的培养提供生动有趣的应用场景</w:t>
      </w:r>
      <w:r>
        <w:rPr>
          <w:rFonts w:ascii="宋体" w:hAnsi="宋体" w:eastAsia="宋体" w:cs="宋体"/>
          <w:kern w:val="2"/>
          <w:sz w:val="21"/>
          <w:szCs w:val="20"/>
          <w:lang w:val="en-US" w:eastAsia="zh-CN" w:bidi="ar-SA"/>
        </w:rPr>
        <w:t>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2" w:firstLineChars="200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课程目标1：</w:t>
      </w:r>
      <w:r>
        <w:rPr>
          <w:rFonts w:hint="eastAsia" w:hAnsi="宋体" w:cs="宋体"/>
          <w:b/>
          <w:lang w:val="en-US" w:eastAsia="zh-CN"/>
        </w:rPr>
        <w:t>能够阅读莎士比亚作品原文</w:t>
      </w:r>
    </w:p>
    <w:p>
      <w:pPr>
        <w:pStyle w:val="2"/>
        <w:spacing w:before="156" w:beforeLines="50" w:after="156" w:afterLines="50"/>
        <w:ind w:firstLine="420" w:firstLineChars="200"/>
        <w:rPr>
          <w:rFonts w:hint="eastAsia" w:hAnsi="宋体" w:cs="宋体"/>
          <w:lang w:val="en-US" w:eastAsia="zh-CN"/>
        </w:rPr>
      </w:pPr>
      <w:r>
        <w:rPr>
          <w:rFonts w:hint="eastAsia" w:hAnsi="宋体" w:cs="宋体"/>
        </w:rPr>
        <w:t>1．1</w:t>
      </w:r>
      <w:r>
        <w:rPr>
          <w:rFonts w:hint="eastAsia" w:hAnsi="宋体" w:cs="宋体"/>
          <w:lang w:val="en-US" w:eastAsia="zh-CN"/>
        </w:rPr>
        <w:t xml:space="preserve">  结合文本注释、课堂讲解及中译文，理解莎士比亚作品的英文原文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hAnsi="宋体" w:eastAsia="宋体" w:cs="宋体"/>
          <w:lang w:val="en-US" w:eastAsia="zh-CN"/>
        </w:rPr>
      </w:pPr>
      <w:r>
        <w:rPr>
          <w:rFonts w:hAnsi="宋体" w:cs="宋体"/>
        </w:rPr>
        <w:t>1</w:t>
      </w:r>
      <w:r>
        <w:rPr>
          <w:rFonts w:hint="eastAsia" w:hAnsi="宋体" w:cs="宋体"/>
        </w:rPr>
        <w:t>．2</w:t>
      </w:r>
      <w:r>
        <w:rPr>
          <w:rFonts w:hint="eastAsia" w:hAnsi="宋体" w:cs="宋体"/>
          <w:lang w:val="en-US" w:eastAsia="zh-CN"/>
        </w:rPr>
        <w:t xml:space="preserve">  熟悉莎士比亚英语在词汇、句法等方面有别于当代英语表达的语言特点</w:t>
      </w:r>
    </w:p>
    <w:p>
      <w:pPr>
        <w:pStyle w:val="2"/>
        <w:spacing w:before="156" w:beforeLines="50" w:after="156" w:afterLines="50"/>
        <w:ind w:firstLine="422" w:firstLineChars="200"/>
        <w:rPr>
          <w:rFonts w:hint="default" w:hAnsi="宋体" w:eastAsia="宋体" w:cs="宋体"/>
          <w:b/>
          <w:lang w:val="en-US" w:eastAsia="zh-CN"/>
        </w:rPr>
      </w:pPr>
      <w:r>
        <w:rPr>
          <w:rFonts w:hint="eastAsia" w:hAnsi="宋体" w:cs="宋体"/>
          <w:b/>
        </w:rPr>
        <w:t>课程目标2：</w:t>
      </w:r>
      <w:r>
        <w:rPr>
          <w:rFonts w:hint="eastAsia" w:hAnsi="宋体" w:cs="宋体"/>
          <w:b/>
          <w:lang w:val="en-US" w:eastAsia="zh-CN"/>
        </w:rPr>
        <w:t>掌握莎士比亚相关的基本文学常识与历史社会背景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</w:pPr>
      <w:r>
        <w:rPr>
          <w:rFonts w:hint="eastAsia" w:hAnsi="宋体" w:cs="宋体"/>
        </w:rPr>
        <w:t>2．1</w:t>
      </w:r>
      <w:r>
        <w:rPr>
          <w:rFonts w:hint="eastAsia" w:hAnsi="宋体" w:cs="宋体"/>
          <w:lang w:val="en-US" w:eastAsia="zh-CN"/>
        </w:rPr>
        <w:t xml:space="preserve">  掌握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莎士比亚</w:t>
      </w: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诗歌与戏剧的相关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概念</w:t>
      </w: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、定义与特征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 xml:space="preserve">2．2  </w:t>
      </w: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熟悉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莎士比亚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悲剧、喜剧、历史剧</w:t>
      </w: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、传奇剧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的</w:t>
      </w: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基本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风格及代表作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2．3  了解莎士比亚同时期的其它剧作家以及文艺复兴时期的文化传统</w:t>
      </w:r>
    </w:p>
    <w:p>
      <w:pPr>
        <w:pStyle w:val="2"/>
        <w:spacing w:before="156" w:beforeLines="50" w:after="156" w:afterLines="50"/>
        <w:ind w:firstLine="422" w:firstLineChars="200"/>
        <w:rPr>
          <w:rFonts w:hint="default" w:hAnsi="宋体" w:cs="宋体"/>
          <w:b/>
          <w:lang w:val="en-US"/>
        </w:rPr>
      </w:pPr>
      <w:r>
        <w:rPr>
          <w:rFonts w:hint="eastAsia" w:hAnsi="宋体" w:cs="宋体"/>
          <w:b/>
        </w:rPr>
        <w:t>课程目标3：</w:t>
      </w:r>
      <w:r>
        <w:rPr>
          <w:rFonts w:hint="eastAsia" w:hAnsi="宋体" w:cs="宋体"/>
          <w:b/>
          <w:lang w:val="en-US" w:eastAsia="zh-CN"/>
        </w:rPr>
        <w:t>培养文学赏析能力并培养戏剧表演意识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</w:pPr>
      <w:r>
        <w:rPr>
          <w:rFonts w:hint="eastAsia" w:hAnsi="宋体" w:cs="宋体"/>
          <w:lang w:val="en-US" w:eastAsia="zh-CN"/>
        </w:rPr>
        <w:t>3</w:t>
      </w:r>
      <w:r>
        <w:rPr>
          <w:rFonts w:hint="eastAsia" w:hAnsi="宋体" w:cs="宋体"/>
        </w:rPr>
        <w:t>．1</w:t>
      </w:r>
      <w:r>
        <w:rPr>
          <w:rFonts w:hint="eastAsia" w:hAnsi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能够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深入分析戏剧人物、反思作品主旨、把握情节结构，注重思辨能力的培养</w:t>
      </w:r>
    </w:p>
    <w:p>
      <w:pPr>
        <w:pStyle w:val="2"/>
        <w:spacing w:before="156" w:beforeLines="50" w:after="156" w:afterLines="50"/>
        <w:ind w:firstLine="420" w:firstLineChars="200"/>
        <w:rPr>
          <w:rFonts w:hint="default" w:ascii="宋体" w:hAnsi="宋体" w:eastAsia="宋体" w:cs="宋体"/>
          <w:kern w:val="2"/>
          <w:sz w:val="21"/>
          <w:szCs w:val="20"/>
          <w:lang w:val="en-US" w:eastAsia="zh-CN" w:bidi="ar-SA"/>
        </w:rPr>
      </w:pPr>
      <w:r>
        <w:rPr>
          <w:rFonts w:hint="eastAsia" w:hAnsi="宋体" w:cs="宋体"/>
          <w:kern w:val="2"/>
          <w:sz w:val="21"/>
          <w:szCs w:val="20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1"/>
          <w:szCs w:val="20"/>
          <w:lang w:val="en-US" w:eastAsia="zh-CN" w:bidi="ar-SA"/>
        </w:rPr>
        <w:t>．2  参与英文戏剧的小组表演，亲历编剧、策划、演出、评论等系列活动，鼓励团队合作与大胆创新设计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hint="eastAsia" w:ascii="黑体" w:hAnsi="宋体"/>
          <w:b/>
          <w:bCs/>
          <w:szCs w:val="21"/>
        </w:rPr>
      </w:pP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</w:rPr>
            </w:pPr>
            <w:r>
              <w:rPr>
                <w:rFonts w:hint="eastAsia" w:hAnsi="宋体" w:cs="宋体"/>
                <w:lang w:val="en-US" w:eastAsia="zh-CN"/>
              </w:rPr>
              <w:t>阅读、理解与赏析莎士比亚作品原文。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eastAsia" w:hAnsi="宋体" w:eastAsia="华文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对应毕业要求4：文学欣赏。4-1 能理解外语文学作品的主要内容和主题思想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1.2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default" w:hAnsi="宋体" w:cs="宋体"/>
                <w:lang w:val="en-US"/>
              </w:rPr>
            </w:pPr>
            <w:r>
              <w:rPr>
                <w:rFonts w:hint="eastAsia" w:hAnsi="宋体" w:cs="宋体"/>
                <w:lang w:val="en-US" w:eastAsia="zh-CN"/>
              </w:rPr>
              <w:t>熟悉莎士比亚英语在词汇、句法等方面的语言特征。</w:t>
            </w:r>
          </w:p>
        </w:tc>
        <w:tc>
          <w:tcPr>
            <w:tcW w:w="2688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对应毕业要求2：英文知识。2-2 掌握英语语言学知识、英美文学知识和英美文化知识。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2.1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</w:rPr>
            </w:pPr>
            <w:r>
              <w:rPr>
                <w:rFonts w:hint="eastAsia" w:hAnsi="宋体" w:cs="宋体"/>
                <w:lang w:val="en-US" w:eastAsia="zh-CN"/>
              </w:rPr>
              <w:t>掌握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莎士比亚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诗歌与戏剧的相关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概念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、定义与特征</w:t>
            </w:r>
          </w:p>
        </w:tc>
        <w:tc>
          <w:tcPr>
            <w:tcW w:w="2688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2.2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以莎士比亚若干名剧为例，掌握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莎士比亚悲剧、喜剧、历史剧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、传奇剧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的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基本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风格</w:t>
            </w: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。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对应毕业要求4：文学欣赏。4-2能欣赏不同体裁文学作品的特点、风格和语言艺术。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2.3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通过了解莎士比亚乃至英国、西方的多元文化背景，培养人文素养与跨文化交际能力。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对应毕业要求5：文化交际。5-1尊重世界文化多样性，具有跨文化同理心和批判性文化意识。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3.1</w:t>
            </w:r>
          </w:p>
        </w:tc>
        <w:tc>
          <w:tcPr>
            <w:tcW w:w="3118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在阅读理解莎士比亚作品的基础上，分析剧中人物、主题思想、语言风格等方面。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对应毕业要求4：文学欣赏。4-3能对文学作品进行评论。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both"/>
            </w:pPr>
          </w:p>
        </w:tc>
        <w:tc>
          <w:tcPr>
            <w:tcW w:w="195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both"/>
            </w:pPr>
          </w:p>
        </w:tc>
        <w:tc>
          <w:tcPr>
            <w:tcW w:w="3118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both"/>
            </w:pPr>
          </w:p>
        </w:tc>
        <w:tc>
          <w:tcPr>
            <w:tcW w:w="2688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对应毕业要求3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：英语技能。3-3能使用外语口语和书面语有效传递信息，表达思想、情感，再现生活经验，并能注意语言表达的得体性和准确性。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302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3.2</w:t>
            </w:r>
          </w:p>
        </w:tc>
        <w:tc>
          <w:tcPr>
            <w:tcW w:w="3118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hAnsi="宋体" w:cs="宋体"/>
                <w:kern w:val="2"/>
                <w:sz w:val="21"/>
                <w:szCs w:val="20"/>
                <w:lang w:val="en-US" w:eastAsia="zh-CN" w:bidi="ar-SA"/>
              </w:rPr>
              <w:t>小组戏剧编创与表演需要学生分工合作，并利用网络与多媒体手段进行自主学习、表演创新，以及小组成果展示。</w:t>
            </w:r>
          </w:p>
        </w:tc>
        <w:tc>
          <w:tcPr>
            <w:tcW w:w="2688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default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302" w:type="dxa"/>
            <w:vMerge w:val="continue"/>
            <w:tcBorders/>
            <w:vAlign w:val="center"/>
          </w:tcPr>
          <w:p>
            <w:pPr>
              <w:pStyle w:val="2"/>
              <w:spacing w:before="156" w:beforeLines="50" w:after="156" w:afterLines="50"/>
              <w:jc w:val="both"/>
            </w:pPr>
          </w:p>
        </w:tc>
        <w:tc>
          <w:tcPr>
            <w:tcW w:w="1959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both"/>
            </w:pPr>
          </w:p>
        </w:tc>
        <w:tc>
          <w:tcPr>
            <w:tcW w:w="3118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both"/>
            </w:pP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both"/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0"/>
                <w:lang w:val="en-US" w:eastAsia="zh-CN" w:bidi="ar-SA"/>
              </w:rPr>
              <w:t>对应毕业要求6：自主学习能力。6-2能组织和配合他人开展学习活动。</w:t>
            </w:r>
          </w:p>
        </w:tc>
      </w:tr>
    </w:tbl>
    <w:p>
      <w:pPr>
        <w:spacing w:before="156" w:beforeLines="50" w:after="156" w:afterLines="50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</w:p>
    <w:p>
      <w:pPr>
        <w:widowControl/>
        <w:spacing w:before="156" w:beforeLines="50" w:after="156" w:afterLines="50"/>
        <w:ind w:firstLine="482" w:firstLineChars="200"/>
        <w:jc w:val="left"/>
      </w:pPr>
      <w:r>
        <w:rPr>
          <w:rFonts w:hint="eastAsia" w:ascii="黑体" w:hAnsi="黑体" w:eastAsia="黑体" w:cs="Times New Roman"/>
          <w:b/>
          <w:sz w:val="24"/>
          <w:szCs w:val="24"/>
        </w:rPr>
        <w:t xml:space="preserve">第一章 </w:t>
      </w: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课程概述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引发学生对莎士比亚的兴趣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（2）激活学生对戏剧艺术的热情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（3）明确课程的要求与目标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文艺复兴的历史文化背景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（2）莎士比亚的各种作品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英国文艺复兴概况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（2）莎士比亚生平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（3）莎士比亚诗歌与戏剧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课堂观察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 w:cs="TimesNewRomanPSMT"/>
          <w:color w:val="000000"/>
          <w:kern w:val="0"/>
          <w:szCs w:val="21"/>
        </w:rPr>
      </w:pPr>
    </w:p>
    <w:p>
      <w:pPr>
        <w:widowControl/>
        <w:numPr>
          <w:ilvl w:val="0"/>
          <w:numId w:val="2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莎士比亚诗歌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让学生认识到莎士比亚在诗歌上的成就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（2）带领学生理解、欣赏、朗诵莎士比亚十四行诗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有关诗歌的专业术语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（2）对莎士比亚十四行诗的文本细读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/>
          <w:szCs w:val="21"/>
          <w:lang w:val="en-US" w:eastAsia="zh-CN"/>
        </w:rPr>
        <w:t>概述莎士比亚的诗歌成就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莎士比亚十四行诗的概念术语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（3）</w:t>
      </w:r>
      <w:r>
        <w:rPr>
          <w:rFonts w:hint="eastAsia" w:ascii="宋体" w:hAnsi="宋体" w:eastAsia="宋体"/>
          <w:szCs w:val="21"/>
          <w:lang w:val="en-US" w:eastAsia="zh-CN"/>
        </w:rPr>
        <w:t>讲解第18首十四行诗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课堂观察</w:t>
      </w:r>
    </w:p>
    <w:p>
      <w:pPr>
        <w:widowControl/>
        <w:numPr>
          <w:numId w:val="0"/>
        </w:numPr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</w:p>
    <w:p>
      <w:pPr>
        <w:widowControl/>
        <w:numPr>
          <w:ilvl w:val="0"/>
          <w:numId w:val="2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《仲夏夜之梦》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能够阅读、理解剧本原文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（2）能够富有感情地分角色朗诵剧本台词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《仲夏夜之梦》选段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（2）富有感情地分角色朗诵剧本台词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《仲夏夜之梦》的若干精彩选段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（2）在理解原剧的基础上进行人物分析与剧情评论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（3）各小组着手剧本改编，准备舞台表演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讲授法、课后影视观摩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课堂观察、小组项目</w:t>
      </w:r>
    </w:p>
    <w:p>
      <w:pPr>
        <w:widowControl/>
        <w:numPr>
          <w:numId w:val="0"/>
        </w:numPr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</w:p>
    <w:p>
      <w:pPr>
        <w:widowControl/>
        <w:numPr>
          <w:ilvl w:val="0"/>
          <w:numId w:val="2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《罗密欧与朱丽叶》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能够阅读、理解剧本原文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（2）能够富有感情地分角色朗诵剧本台词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《罗密欧与朱丽叶》选段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（2）富有感情地分角色朗诵剧本台词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《罗密欧与朱丽叶》的若干精彩选段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（2）在理解原剧的基础上进行人物分析与剧情评论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讲授法、课后影视观摩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课堂观察、小组项目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</w:pPr>
    </w:p>
    <w:p>
      <w:pPr>
        <w:widowControl/>
        <w:numPr>
          <w:ilvl w:val="0"/>
          <w:numId w:val="2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《李尔王》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能够阅读、理解剧本原文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（2）能够富有感情地分角色朗诵剧本台词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《李尔王》选段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（2）富有感情地分角色朗诵剧本台词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《李尔王》的若干精彩选段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（2）在理解原剧的基础上进行人物分析与剧情评论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讲授法、课后影视观摩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课堂观察、小组项目</w:t>
      </w:r>
    </w:p>
    <w:p>
      <w:pPr>
        <w:widowControl/>
        <w:numPr>
          <w:numId w:val="0"/>
        </w:numPr>
        <w:spacing w:before="156" w:beforeLines="50" w:after="156" w:afterLines="5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</w:p>
    <w:p>
      <w:pPr>
        <w:widowControl/>
        <w:numPr>
          <w:ilvl w:val="0"/>
          <w:numId w:val="2"/>
        </w:numPr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/>
          <w:sz w:val="24"/>
          <w:szCs w:val="24"/>
          <w:lang w:val="en-US" w:eastAsia="zh-CN"/>
        </w:rPr>
        <w:t>《哈姆雷特》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1.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教学目标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能够阅读、理解剧本原文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（2）能够富有感情地分角色朗诵剧本台词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2.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教学重难点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《哈姆雷特》选段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（2）富有感情地分角色朗诵剧本台词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3.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教学内容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理解赏析</w:t>
      </w:r>
      <w:r>
        <w:rPr>
          <w:rFonts w:hint="eastAsia" w:ascii="宋体" w:hAnsi="宋体" w:eastAsia="宋体"/>
          <w:szCs w:val="21"/>
          <w:lang w:val="en-US" w:eastAsia="zh-CN"/>
        </w:rPr>
        <w:t>《哈姆雷特》的若干精彩选段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（2）在理解原剧的基础上进行人物分析与剧情评论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4.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教学方法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讲授法、课后影视观摩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default" w:ascii="宋体" w:hAnsi="宋体" w:eastAsia="宋体" w:cs="TimesNewRomanPSMT"/>
          <w:color w:val="000000"/>
          <w:kern w:val="0"/>
          <w:szCs w:val="21"/>
          <w:lang w:val="en-US" w:eastAsia="zh-CN"/>
        </w:rPr>
      </w:pPr>
      <w:r>
        <w:rPr>
          <w:rFonts w:ascii="宋体" w:hAnsi="宋体" w:eastAsia="宋体" w:cs="TimesNewRomanPSMT"/>
          <w:color w:val="000000"/>
          <w:kern w:val="0"/>
          <w:szCs w:val="21"/>
        </w:rPr>
        <w:t>5.</w:t>
      </w:r>
      <w:r>
        <w:rPr>
          <w:rFonts w:hint="eastAsia" w:ascii="宋体" w:hAnsi="宋体" w:eastAsia="宋体" w:cs="TimesNewRomanPSMT"/>
          <w:color w:val="000000"/>
          <w:kern w:val="0"/>
          <w:szCs w:val="21"/>
        </w:rPr>
        <w:t>教学评价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eastAsia="zh-CN"/>
        </w:rPr>
        <w:t>：</w:t>
      </w:r>
      <w:r>
        <w:rPr>
          <w:rFonts w:hint="eastAsia" w:ascii="宋体" w:hAnsi="宋体" w:eastAsia="宋体" w:cs="TimesNewRomanPSMT"/>
          <w:color w:val="000000"/>
          <w:kern w:val="0"/>
          <w:szCs w:val="21"/>
          <w:lang w:val="en-US" w:eastAsia="zh-CN"/>
        </w:rPr>
        <w:t>课堂观察、小组项目</w:t>
      </w:r>
    </w:p>
    <w:p>
      <w:pPr>
        <w:widowControl/>
        <w:spacing w:before="156" w:beforeLines="50" w:after="156" w:afterLines="50"/>
        <w:ind w:firstLine="420" w:firstLineChars="200"/>
        <w:jc w:val="left"/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表2：各章节的具体内容和学时分配表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章节内容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课程概述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莎士比亚诗歌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第三章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《仲夏夜之梦》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第五章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《罗密欧与朱丽叶》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第六章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李尔王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》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</w:t>
            </w:r>
            <w:r>
              <w:rPr>
                <w:rFonts w:hint="eastAsia" w:ascii="宋体" w:hAnsi="宋体" w:eastAsia="宋体"/>
                <w:lang w:val="en-US" w:eastAsia="zh-CN"/>
              </w:rPr>
              <w:t>七</w:t>
            </w:r>
            <w:r>
              <w:rPr>
                <w:rFonts w:hint="eastAsia" w:ascii="宋体" w:hAnsi="宋体" w:eastAsia="宋体"/>
              </w:rPr>
              <w:t>章</w:t>
            </w:r>
          </w:p>
        </w:tc>
        <w:tc>
          <w:tcPr>
            <w:tcW w:w="2765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哈姆雷特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》</w:t>
            </w:r>
          </w:p>
        </w:tc>
        <w:tc>
          <w:tcPr>
            <w:tcW w:w="2766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  <w:rPr>
          <w:rFonts w:hint="eastAsia" w:ascii="黑体" w:hAnsi="黑体" w:eastAsia="黑体"/>
          <w:b/>
          <w:sz w:val="28"/>
          <w:szCs w:val="28"/>
        </w:rPr>
      </w:pPr>
    </w:p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表3：教学进度表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639"/>
        <w:gridCol w:w="1353"/>
        <w:gridCol w:w="1752"/>
        <w:gridCol w:w="1248"/>
        <w:gridCol w:w="1559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周次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日期</w:t>
            </w:r>
          </w:p>
        </w:tc>
        <w:tc>
          <w:tcPr>
            <w:tcW w:w="135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章节名称</w:t>
            </w:r>
          </w:p>
        </w:tc>
        <w:tc>
          <w:tcPr>
            <w:tcW w:w="17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内容提要</w:t>
            </w:r>
          </w:p>
        </w:tc>
        <w:tc>
          <w:tcPr>
            <w:tcW w:w="12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授课时数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作业及要求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5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课程概述</w:t>
            </w:r>
          </w:p>
        </w:tc>
        <w:tc>
          <w:tcPr>
            <w:tcW w:w="17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英国文艺复兴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莎士比亚及其作品、课程要求与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考核方式</w:t>
            </w:r>
          </w:p>
        </w:tc>
        <w:tc>
          <w:tcPr>
            <w:tcW w:w="12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预习十四行诗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-3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5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莎士比亚诗歌</w:t>
            </w:r>
          </w:p>
        </w:tc>
        <w:tc>
          <w:tcPr>
            <w:tcW w:w="17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概述莎士比亚的诗歌成就，重点讲解第18首十四行诗</w:t>
            </w:r>
          </w:p>
        </w:tc>
        <w:tc>
          <w:tcPr>
            <w:tcW w:w="12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熟读第18首十四行诗；预习《仲夏夜之梦》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  <w:r>
              <w:rPr>
                <w:rFonts w:ascii="宋体" w:hAnsi="宋体" w:eastAsia="宋体"/>
                <w:szCs w:val="21"/>
              </w:rPr>
              <w:t>-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7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5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《仲夏夜之梦》</w:t>
            </w:r>
          </w:p>
        </w:tc>
        <w:tc>
          <w:tcPr>
            <w:tcW w:w="17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讲解选段</w:t>
            </w:r>
          </w:p>
        </w:tc>
        <w:tc>
          <w:tcPr>
            <w:tcW w:w="12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阅读《仲夏夜之梦》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5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戏剧表演</w:t>
            </w:r>
          </w:p>
        </w:tc>
        <w:tc>
          <w:tcPr>
            <w:tcW w:w="17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各小组表演短剧</w:t>
            </w:r>
          </w:p>
        </w:tc>
        <w:tc>
          <w:tcPr>
            <w:tcW w:w="12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小组总结汇报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9-11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5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《罗密欧与朱丽叶》</w:t>
            </w:r>
          </w:p>
        </w:tc>
        <w:tc>
          <w:tcPr>
            <w:tcW w:w="17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讲解选段</w:t>
            </w:r>
          </w:p>
        </w:tc>
        <w:tc>
          <w:tcPr>
            <w:tcW w:w="12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阅读《罗密欧与朱丽叶》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12-14</w:t>
            </w:r>
          </w:p>
        </w:tc>
        <w:tc>
          <w:tcPr>
            <w:tcW w:w="6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5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李尔王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》</w:t>
            </w:r>
          </w:p>
        </w:tc>
        <w:tc>
          <w:tcPr>
            <w:tcW w:w="17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讲解选段</w:t>
            </w:r>
          </w:p>
        </w:tc>
        <w:tc>
          <w:tcPr>
            <w:tcW w:w="12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阅读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李尔王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》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1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15-</w:t>
            </w: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63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53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哈姆雷特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》</w:t>
            </w:r>
          </w:p>
        </w:tc>
        <w:tc>
          <w:tcPr>
            <w:tcW w:w="1752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讲解选段</w:t>
            </w:r>
          </w:p>
        </w:tc>
        <w:tc>
          <w:tcPr>
            <w:tcW w:w="1248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阅读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哈姆雷特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》</w:t>
            </w:r>
          </w:p>
        </w:tc>
        <w:tc>
          <w:tcPr>
            <w:tcW w:w="904" w:type="dxa"/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562" w:firstLineChars="2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</w:p>
    <w:p>
      <w:pPr>
        <w:widowControl/>
        <w:numPr>
          <w:ilvl w:val="0"/>
          <w:numId w:val="3"/>
        </w:numPr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华文宋体" w:cs="Times New Roman"/>
          <w:szCs w:val="21"/>
          <w:lang w:eastAsia="zh-CN"/>
        </w:rPr>
      </w:pPr>
      <w:r>
        <w:rPr>
          <w:rFonts w:hint="eastAsia" w:ascii="Times New Roman" w:hAnsi="Times New Roman" w:eastAsia="华文宋体" w:cs="Times New Roman"/>
          <w:szCs w:val="21"/>
        </w:rPr>
        <w:t xml:space="preserve">黄必康，《莎士比亚欣赏》，北京大学出版社， </w:t>
      </w:r>
      <w:r>
        <w:rPr>
          <w:rFonts w:ascii="Times New Roman" w:hAnsi="Times New Roman" w:eastAsia="华文宋体" w:cs="Times New Roman"/>
          <w:szCs w:val="21"/>
        </w:rPr>
        <w:t>20</w:t>
      </w:r>
      <w:r>
        <w:rPr>
          <w:rFonts w:hint="eastAsia" w:ascii="Times New Roman" w:hAnsi="Times New Roman" w:eastAsia="华文宋体" w:cs="Times New Roman"/>
          <w:szCs w:val="21"/>
        </w:rPr>
        <w:t>0</w:t>
      </w:r>
      <w:r>
        <w:rPr>
          <w:rFonts w:ascii="Times New Roman" w:hAnsi="Times New Roman" w:eastAsia="华文宋体" w:cs="Times New Roman"/>
          <w:szCs w:val="21"/>
        </w:rPr>
        <w:t>5</w:t>
      </w:r>
      <w:r>
        <w:rPr>
          <w:rFonts w:hint="eastAsia" w:ascii="Times New Roman" w:hAnsi="Times New Roman" w:eastAsia="华文宋体" w:cs="Times New Roman"/>
          <w:szCs w:val="21"/>
        </w:rPr>
        <w:t>年第1版</w:t>
      </w:r>
      <w:r>
        <w:rPr>
          <w:rFonts w:hint="eastAsia" w:ascii="Times New Roman" w:hAnsi="Times New Roman" w:eastAsia="华文宋体" w:cs="Times New Roman"/>
          <w:szCs w:val="21"/>
          <w:lang w:eastAsia="zh-CN"/>
        </w:rPr>
        <w:t>。</w:t>
      </w:r>
    </w:p>
    <w:p>
      <w:pPr>
        <w:widowControl/>
        <w:numPr>
          <w:ilvl w:val="0"/>
          <w:numId w:val="3"/>
        </w:numPr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华文宋体" w:cs="Times New Roman"/>
          <w:szCs w:val="21"/>
          <w:lang w:eastAsia="zh-CN"/>
        </w:rPr>
      </w:pPr>
      <w:r>
        <w:rPr>
          <w:rFonts w:hint="eastAsia" w:ascii="Times New Roman" w:hAnsi="Times New Roman" w:eastAsia="华文宋体"/>
          <w:szCs w:val="21"/>
        </w:rPr>
        <w:t>朱生豪等译：</w:t>
      </w:r>
      <w:r>
        <w:rPr>
          <w:rFonts w:ascii="Times New Roman" w:hAnsi="Times New Roman" w:eastAsia="华文宋体"/>
          <w:szCs w:val="21"/>
        </w:rPr>
        <w:t>《莎士比亚全集》</w:t>
      </w:r>
      <w:r>
        <w:rPr>
          <w:rFonts w:hint="eastAsia" w:ascii="Times New Roman" w:hAnsi="Times New Roman" w:eastAsia="华文宋体"/>
          <w:szCs w:val="21"/>
        </w:rPr>
        <w:t>，共</w:t>
      </w:r>
      <w:r>
        <w:rPr>
          <w:rFonts w:ascii="Times New Roman" w:hAnsi="Times New Roman" w:eastAsia="华文宋体"/>
          <w:szCs w:val="21"/>
        </w:rPr>
        <w:t>11</w:t>
      </w:r>
      <w:r>
        <w:rPr>
          <w:rFonts w:hint="eastAsia" w:ascii="Times New Roman" w:hAnsi="Times New Roman" w:eastAsia="华文宋体"/>
          <w:szCs w:val="21"/>
        </w:rPr>
        <w:t>卷，北京：</w:t>
      </w:r>
      <w:r>
        <w:rPr>
          <w:rFonts w:ascii="Times New Roman" w:hAnsi="Times New Roman" w:eastAsia="华文宋体"/>
          <w:szCs w:val="21"/>
        </w:rPr>
        <w:t>人民文学出版社，1978</w:t>
      </w:r>
      <w:r>
        <w:rPr>
          <w:rFonts w:hint="eastAsia" w:ascii="Times New Roman" w:hAnsi="Times New Roman" w:eastAsia="华文宋体"/>
          <w:szCs w:val="21"/>
        </w:rPr>
        <w:t>年</w:t>
      </w:r>
      <w:r>
        <w:rPr>
          <w:rFonts w:hint="eastAsia" w:ascii="Times New Roman" w:hAnsi="Times New Roman" w:eastAsia="华文宋体"/>
          <w:szCs w:val="21"/>
          <w:lang w:eastAsia="zh-CN"/>
        </w:rPr>
        <w:t>。</w:t>
      </w:r>
    </w:p>
    <w:p>
      <w:pPr>
        <w:widowControl/>
        <w:numPr>
          <w:ilvl w:val="0"/>
          <w:numId w:val="3"/>
        </w:numPr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华文宋体" w:cs="Times New Roman"/>
          <w:szCs w:val="21"/>
          <w:lang w:eastAsia="zh-CN"/>
        </w:rPr>
      </w:pPr>
      <w:r>
        <w:rPr>
          <w:rFonts w:ascii="Times New Roman" w:hAnsi="Times New Roman"/>
          <w:szCs w:val="21"/>
        </w:rPr>
        <w:t xml:space="preserve">Proudfoot, Richard, Ann Thompson, and David Scott Kastan, eds. </w:t>
      </w:r>
      <w:r>
        <w:rPr>
          <w:rFonts w:ascii="Times New Roman" w:hAnsi="Times New Roman"/>
          <w:i/>
          <w:szCs w:val="21"/>
        </w:rPr>
        <w:t>The Arden Shakespeare: Complete Works</w:t>
      </w:r>
      <w:r>
        <w:rPr>
          <w:rFonts w:ascii="Times New Roman" w:hAnsi="Times New Roman"/>
          <w:szCs w:val="21"/>
        </w:rPr>
        <w:t>. Rev. ed. London: Arden Shakespeare, 2011</w:t>
      </w:r>
      <w:r>
        <w:rPr>
          <w:rFonts w:hint="eastAsia" w:ascii="Times New Roman" w:hAnsi="Times New Roman"/>
          <w:szCs w:val="21"/>
          <w:lang w:val="en-US" w:eastAsia="zh-CN"/>
        </w:rPr>
        <w:t>.</w:t>
      </w:r>
    </w:p>
    <w:p>
      <w:pPr>
        <w:widowControl/>
        <w:numPr>
          <w:ilvl w:val="0"/>
          <w:numId w:val="3"/>
        </w:numPr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eastAsia="华文宋体" w:cs="Times New Roman"/>
          <w:szCs w:val="21"/>
          <w:lang w:eastAsia="zh-CN"/>
        </w:rPr>
      </w:pPr>
      <w:r>
        <w:rPr>
          <w:rFonts w:hint="eastAsia" w:ascii="Times New Roman" w:hAnsi="Times New Roman"/>
          <w:szCs w:val="21"/>
        </w:rPr>
        <w:t xml:space="preserve">Pamela Bickley, and Jenny Stevens. </w:t>
      </w:r>
      <w:r>
        <w:rPr>
          <w:rFonts w:hint="eastAsia" w:ascii="Times New Roman" w:hAnsi="Times New Roman"/>
          <w:i/>
          <w:szCs w:val="21"/>
        </w:rPr>
        <w:t>Essential Shakespeare: The Arden Guide to Text and Interpretation</w:t>
      </w:r>
      <w:r>
        <w:rPr>
          <w:rFonts w:hint="eastAsia" w:ascii="Times New Roman" w:hAnsi="Times New Roman"/>
          <w:szCs w:val="21"/>
        </w:rPr>
        <w:t>. London: Bloomsbury, 2013</w:t>
      </w:r>
      <w:r>
        <w:rPr>
          <w:rFonts w:hint="eastAsia" w:ascii="Times New Roman" w:hAnsi="Times New Roman"/>
          <w:szCs w:val="21"/>
          <w:lang w:val="en-US" w:eastAsia="zh-CN"/>
        </w:rPr>
        <w:t>.</w:t>
      </w:r>
    </w:p>
    <w:p>
      <w:pPr>
        <w:widowControl/>
        <w:numPr>
          <w:ilvl w:val="0"/>
          <w:numId w:val="3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bookmarkStart w:id="0" w:name="_GoBack"/>
      <w:r>
        <w:rPr>
          <w:rFonts w:hint="eastAsia" w:ascii="Times New Roman" w:hAnsi="Times New Roman"/>
          <w:szCs w:val="21"/>
        </w:rPr>
        <w:t xml:space="preserve">Margreta de Grazia, and Stanley Wells, eds. </w:t>
      </w:r>
      <w:r>
        <w:rPr>
          <w:rFonts w:hint="eastAsia" w:ascii="Times New Roman" w:hAnsi="Times New Roman"/>
          <w:i/>
          <w:szCs w:val="21"/>
        </w:rPr>
        <w:t>The New Cambridge Companion to Shakespeare</w:t>
      </w:r>
      <w:r>
        <w:rPr>
          <w:rFonts w:hint="eastAsia" w:ascii="Times New Roman" w:hAnsi="Times New Roman"/>
          <w:szCs w:val="21"/>
        </w:rPr>
        <w:t>. Cambridge: Cambridge UP, 2010</w:t>
      </w:r>
      <w:r>
        <w:rPr>
          <w:rFonts w:hint="eastAsia" w:ascii="Times New Roman" w:hAnsi="Times New Roman"/>
          <w:szCs w:val="21"/>
          <w:lang w:val="en-US" w:eastAsia="zh-CN"/>
        </w:rPr>
        <w:t>.</w:t>
      </w:r>
    </w:p>
    <w:bookmarkEnd w:id="0"/>
    <w:p>
      <w:pPr>
        <w:widowControl/>
        <w:numPr>
          <w:ilvl w:val="0"/>
          <w:numId w:val="3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网络资源：</w:t>
      </w:r>
    </w:p>
    <w:p>
      <w:pPr>
        <w:widowControl/>
        <w:numPr>
          <w:numId w:val="0"/>
        </w:numPr>
        <w:spacing w:before="156" w:beforeLines="50" w:after="156" w:afterLines="5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莎士比亚</w:t>
      </w:r>
      <w:r>
        <w:rPr>
          <w:rFonts w:hint="eastAsia" w:ascii="宋体" w:hAnsi="宋体" w:eastAsia="宋体"/>
        </w:rPr>
        <w:t>作品全文、分析概述等</w:t>
      </w:r>
      <w:r>
        <w:rPr>
          <w:rFonts w:hint="eastAsia" w:ascii="宋体" w:hAnsi="宋体" w:eastAsia="宋体"/>
          <w:lang w:val="en-US" w:eastAsia="zh-CN"/>
        </w:rPr>
        <w:t>参见</w:t>
      </w:r>
      <w:r>
        <w:rPr>
          <w:rFonts w:hint="eastAsia" w:ascii="宋体" w:hAnsi="宋体" w:eastAsia="宋体"/>
        </w:rPr>
        <w:t>http://www.shakespeare-online.com/</w:t>
      </w:r>
    </w:p>
    <w:p>
      <w:pPr>
        <w:widowControl/>
        <w:numPr>
          <w:numId w:val="0"/>
        </w:numPr>
        <w:spacing w:before="156" w:beforeLines="50" w:after="156" w:afterLines="5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莎士比亚</w:t>
      </w:r>
      <w:r>
        <w:rPr>
          <w:rFonts w:hint="eastAsia" w:ascii="宋体" w:hAnsi="宋体" w:eastAsia="宋体"/>
        </w:rPr>
        <w:t>生平、历史背景等</w:t>
      </w:r>
      <w:r>
        <w:rPr>
          <w:rFonts w:hint="eastAsia" w:ascii="宋体" w:hAnsi="宋体" w:eastAsia="宋体"/>
          <w:lang w:val="en-US" w:eastAsia="zh-CN"/>
        </w:rPr>
        <w:t>参见</w:t>
      </w:r>
      <w:r>
        <w:rPr>
          <w:rFonts w:hint="eastAsia" w:ascii="宋体" w:hAnsi="宋体" w:eastAsia="宋体"/>
        </w:rPr>
        <w:t>https://www.bardweb.net/index.html</w:t>
      </w:r>
    </w:p>
    <w:p>
      <w:pPr>
        <w:widowControl/>
        <w:numPr>
          <w:numId w:val="0"/>
        </w:numPr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莎士比亚</w:t>
      </w:r>
      <w:r>
        <w:rPr>
          <w:rFonts w:hint="eastAsia" w:ascii="宋体" w:hAnsi="宋体" w:eastAsia="宋体"/>
        </w:rPr>
        <w:t>早期版本、当代舞台演出等</w:t>
      </w:r>
      <w:r>
        <w:rPr>
          <w:rFonts w:hint="eastAsia" w:ascii="宋体" w:hAnsi="宋体" w:eastAsia="宋体"/>
          <w:lang w:val="en-US" w:eastAsia="zh-CN"/>
        </w:rPr>
        <w:t>参见</w:t>
      </w:r>
      <w:r>
        <w:rPr>
          <w:rFonts w:hint="eastAsia" w:ascii="宋体" w:hAnsi="宋体" w:eastAsia="宋体"/>
        </w:rPr>
        <w:t>https://www.folger.edu/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US" w:eastAsia="zh-CN"/>
        </w:rPr>
        <w:t>课程</w:t>
      </w:r>
      <w:r>
        <w:rPr>
          <w:rFonts w:hint="eastAsia" w:ascii="宋体" w:hAnsi="宋体" w:eastAsia="宋体"/>
          <w:lang w:val="en-GB"/>
        </w:rPr>
        <w:t>讲授：教师</w:t>
      </w:r>
      <w:r>
        <w:rPr>
          <w:rFonts w:hint="eastAsia" w:ascii="宋体" w:hAnsi="宋体" w:eastAsia="宋体"/>
          <w:lang w:val="en-US" w:eastAsia="zh-CN"/>
        </w:rPr>
        <w:t>阐述</w:t>
      </w:r>
      <w:r>
        <w:rPr>
          <w:rFonts w:hint="eastAsia" w:ascii="宋体" w:hAnsi="宋体" w:eastAsia="宋体"/>
          <w:lang w:val="en-GB"/>
        </w:rPr>
        <w:t>概念</w:t>
      </w:r>
      <w:r>
        <w:rPr>
          <w:rFonts w:hint="eastAsia" w:ascii="宋体" w:hAnsi="宋体" w:eastAsia="宋体"/>
          <w:lang w:val="en-GB" w:eastAsia="zh-CN"/>
        </w:rPr>
        <w:t>、</w:t>
      </w:r>
      <w:r>
        <w:rPr>
          <w:rFonts w:hint="eastAsia" w:ascii="宋体" w:hAnsi="宋体" w:eastAsia="宋体"/>
          <w:lang w:val="en-GB"/>
        </w:rPr>
        <w:t>讲解</w:t>
      </w:r>
      <w:r>
        <w:rPr>
          <w:rFonts w:hint="eastAsia" w:ascii="宋体" w:hAnsi="宋体" w:eastAsia="宋体"/>
          <w:lang w:val="en-US" w:eastAsia="zh-CN"/>
        </w:rPr>
        <w:t>文本、引导赏析</w:t>
      </w:r>
      <w:r>
        <w:rPr>
          <w:rFonts w:hint="eastAsia" w:ascii="宋体" w:hAnsi="宋体" w:eastAsia="宋体"/>
          <w:lang w:val="en-GB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US" w:eastAsia="zh-CN"/>
        </w:rPr>
        <w:t>戏剧表演</w:t>
      </w:r>
      <w:r>
        <w:rPr>
          <w:rFonts w:hint="eastAsia" w:ascii="宋体" w:hAnsi="宋体" w:eastAsia="宋体"/>
          <w:lang w:val="en-GB"/>
        </w:rPr>
        <w:t>：</w:t>
      </w:r>
      <w:r>
        <w:rPr>
          <w:rFonts w:hint="eastAsia" w:ascii="宋体" w:hAnsi="宋体" w:eastAsia="宋体"/>
          <w:lang w:val="en-US" w:eastAsia="zh-CN"/>
        </w:rPr>
        <w:t>全班分组，项目制运作，从改编到表演，各剧组成员分工合作。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  <w:lang w:val="en-GB"/>
        </w:rPr>
      </w:pPr>
      <w:r>
        <w:rPr>
          <w:rFonts w:hint="eastAsia" w:ascii="宋体" w:hAnsi="宋体" w:eastAsia="宋体"/>
          <w:lang w:val="en-US" w:eastAsia="zh-CN"/>
        </w:rPr>
        <w:t>3</w:t>
      </w:r>
      <w:r>
        <w:rPr>
          <w:rFonts w:ascii="宋体" w:hAnsi="宋体" w:eastAsia="宋体"/>
          <w:lang w:val="en-GB"/>
        </w:rPr>
        <w:t xml:space="preserve">. </w:t>
      </w:r>
      <w:r>
        <w:rPr>
          <w:rFonts w:hint="eastAsia" w:ascii="宋体" w:hAnsi="宋体" w:eastAsia="宋体"/>
          <w:lang w:val="en-US" w:eastAsia="zh-CN"/>
        </w:rPr>
        <w:t>总结</w:t>
      </w:r>
      <w:r>
        <w:rPr>
          <w:rFonts w:hint="eastAsia" w:ascii="宋体" w:hAnsi="宋体" w:eastAsia="宋体"/>
          <w:lang w:val="en-GB"/>
        </w:rPr>
        <w:t>反思：</w:t>
      </w:r>
      <w:r>
        <w:rPr>
          <w:rFonts w:hint="eastAsia" w:ascii="宋体" w:hAnsi="宋体" w:eastAsia="宋体"/>
          <w:lang w:val="en-US" w:eastAsia="zh-CN"/>
        </w:rPr>
        <w:t>小组活动之后有</w:t>
      </w:r>
      <w:r>
        <w:rPr>
          <w:rFonts w:hint="eastAsia" w:ascii="宋体" w:hAnsi="宋体" w:eastAsia="宋体"/>
          <w:lang w:val="en-GB"/>
        </w:rPr>
        <w:t>教师点评</w:t>
      </w:r>
      <w:r>
        <w:rPr>
          <w:rFonts w:hint="eastAsia" w:ascii="宋体" w:hAnsi="宋体" w:eastAsia="宋体"/>
          <w:lang w:val="en-US" w:eastAsia="zh-CN"/>
        </w:rPr>
        <w:t>，各小组</w:t>
      </w:r>
      <w:r>
        <w:rPr>
          <w:rFonts w:hint="eastAsia" w:ascii="宋体" w:hAnsi="宋体" w:eastAsia="宋体"/>
          <w:lang w:val="en-GB"/>
        </w:rPr>
        <w:t>撰写</w:t>
      </w:r>
      <w:r>
        <w:rPr>
          <w:rFonts w:hint="eastAsia" w:ascii="宋体" w:hAnsi="宋体" w:eastAsia="宋体"/>
          <w:lang w:val="en-US" w:eastAsia="zh-CN"/>
        </w:rPr>
        <w:t>总结汇报，进行自评与互评</w:t>
      </w:r>
      <w:r>
        <w:rPr>
          <w:rFonts w:hint="eastAsia" w:ascii="宋体" w:hAnsi="宋体" w:eastAsia="宋体"/>
          <w:lang w:val="en-GB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莎士比亚作品阅读理解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</w:t>
            </w:r>
            <w:r>
              <w:rPr>
                <w:rFonts w:hint="eastAsia" w:hAnsi="宋体"/>
                <w:lang w:val="en-US" w:eastAsia="zh-CN"/>
              </w:rPr>
              <w:t>表演</w:t>
            </w:r>
            <w:r>
              <w:rPr>
                <w:rFonts w:hint="eastAsia" w:hAnsi="宋体"/>
              </w:rPr>
              <w:t>、期末</w:t>
            </w:r>
            <w:r>
              <w:rPr>
                <w:rFonts w:hint="eastAsia" w:hAnsi="宋体"/>
                <w:lang w:val="en-US" w:eastAsia="zh-CN"/>
              </w:rPr>
              <w:t>小论文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莎士比亚文学常识与文艺复兴文化背景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</w:t>
            </w:r>
            <w:r>
              <w:rPr>
                <w:rFonts w:hint="eastAsia" w:hAnsi="宋体"/>
                <w:lang w:val="en-US" w:eastAsia="zh-CN"/>
              </w:rPr>
              <w:t>表演</w:t>
            </w:r>
            <w:r>
              <w:rPr>
                <w:rFonts w:hint="eastAsia" w:hAnsi="宋体"/>
              </w:rPr>
              <w:t>、期末</w:t>
            </w:r>
            <w:r>
              <w:rPr>
                <w:rFonts w:hint="eastAsia" w:hAnsi="宋体"/>
                <w:lang w:val="en-US" w:eastAsia="zh-CN"/>
              </w:rPr>
              <w:t>小论文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int="default" w:hAnsi="宋体" w:eastAsia="宋体"/>
                <w:b w:val="0"/>
                <w:bCs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lang w:val="en-US" w:eastAsia="zh-CN"/>
              </w:rPr>
              <w:t>莎士比亚戏剧赏析与表演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</w:rPr>
              <w:t>平时成绩、期中</w:t>
            </w:r>
            <w:r>
              <w:rPr>
                <w:rFonts w:hint="eastAsia" w:hAnsi="宋体"/>
                <w:lang w:val="en-US" w:eastAsia="zh-CN"/>
              </w:rPr>
              <w:t>表演</w:t>
            </w:r>
            <w:r>
              <w:rPr>
                <w:rFonts w:hint="eastAsia" w:hAnsi="宋体"/>
              </w:rPr>
              <w:t>、期末</w:t>
            </w:r>
            <w:r>
              <w:rPr>
                <w:rFonts w:hint="eastAsia" w:hAnsi="宋体"/>
                <w:lang w:val="en-US" w:eastAsia="zh-CN"/>
              </w:rPr>
              <w:t>小论文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课程总成绩包括：</w:t>
      </w:r>
    </w:p>
    <w:p>
      <w:pPr>
        <w:widowControl/>
        <w:numPr>
          <w:ilvl w:val="0"/>
          <w:numId w:val="4"/>
        </w:numPr>
        <w:spacing w:before="156" w:beforeLines="50" w:after="156" w:afterLines="50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平时成绩</w:t>
      </w:r>
      <w:r>
        <w:rPr>
          <w:rFonts w:ascii="宋体" w:hAnsi="宋体" w:eastAsia="宋体"/>
        </w:rPr>
        <w:t>30%</w:t>
      </w:r>
    </w:p>
    <w:p>
      <w:pPr>
        <w:widowControl/>
        <w:numPr>
          <w:ilvl w:val="0"/>
          <w:numId w:val="4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期中</w:t>
      </w:r>
      <w:r>
        <w:rPr>
          <w:rFonts w:hint="eastAsia" w:ascii="宋体" w:hAnsi="宋体" w:eastAsia="宋体"/>
          <w:lang w:val="en-US" w:eastAsia="zh-CN"/>
        </w:rPr>
        <w:t>表演</w:t>
      </w:r>
      <w:r>
        <w:rPr>
          <w:rFonts w:ascii="宋体" w:hAnsi="宋体" w:eastAsia="宋体"/>
        </w:rPr>
        <w:t>20%</w:t>
      </w:r>
    </w:p>
    <w:p>
      <w:pPr>
        <w:widowControl/>
        <w:numPr>
          <w:ilvl w:val="0"/>
          <w:numId w:val="4"/>
        </w:numPr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期末</w:t>
      </w:r>
      <w:r>
        <w:rPr>
          <w:rFonts w:hint="eastAsia" w:ascii="宋体" w:hAnsi="宋体" w:eastAsia="宋体"/>
          <w:lang w:val="en-US" w:eastAsia="zh-CN"/>
        </w:rPr>
        <w:t>小论文</w:t>
      </w:r>
      <w:r>
        <w:rPr>
          <w:rFonts w:ascii="宋体" w:hAnsi="宋体" w:eastAsia="宋体"/>
        </w:rPr>
        <w:t>50%</w:t>
      </w:r>
      <w:r>
        <w:rPr>
          <w:rFonts w:hint="eastAsia" w:ascii="宋体" w:hAnsi="宋体" w:eastAsia="宋体"/>
        </w:rPr>
        <w:t xml:space="preserve"> </w:t>
      </w:r>
    </w:p>
    <w:p>
      <w:pPr>
        <w:widowControl/>
        <w:spacing w:before="156" w:beforeLines="50" w:after="156" w:afterLines="50"/>
        <w:jc w:val="left"/>
        <w:rPr>
          <w:rFonts w:hint="eastAsia" w:ascii="宋体" w:hAnsi="宋体" w:eastAsia="宋体"/>
        </w:rPr>
      </w:pP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1134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总评达成度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（1）课程目标1达成度={0.3ｘ课程目标1平时成绩+0.2ｘ课程目标1期中成绩+0.5ｘ课程目标1期末成绩}/目标1总分。</w:t>
            </w:r>
          </w:p>
          <w:p>
            <w:pPr>
              <w:spacing w:before="156" w:beforeLines="50" w:after="156" w:afterLines="50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（2）课程目标2和目标3达成度按照上述方式计算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/>
                <w:kern w:val="0"/>
                <w:szCs w:val="21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50%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627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能够非常好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地阅读</w:t>
            </w:r>
            <w:r>
              <w:rPr>
                <w:rFonts w:hint="eastAsia" w:ascii="宋体" w:hAnsi="宋体" w:eastAsia="宋体"/>
                <w:szCs w:val="21"/>
              </w:rPr>
              <w:t>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莎士比亚作品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能够很好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地阅读</w:t>
            </w:r>
            <w:r>
              <w:rPr>
                <w:rFonts w:hint="eastAsia" w:ascii="宋体" w:hAnsi="宋体" w:eastAsia="宋体"/>
                <w:szCs w:val="21"/>
              </w:rPr>
              <w:t>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莎士比亚作品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能够较好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地阅读</w:t>
            </w:r>
            <w:r>
              <w:rPr>
                <w:rFonts w:hint="eastAsia" w:ascii="宋体" w:hAnsi="宋体" w:eastAsia="宋体"/>
                <w:szCs w:val="21"/>
              </w:rPr>
              <w:t>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莎士比亚作品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能够基本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阅读</w:t>
            </w:r>
            <w:r>
              <w:rPr>
                <w:rFonts w:hint="eastAsia" w:ascii="宋体" w:hAnsi="宋体" w:eastAsia="宋体"/>
                <w:szCs w:val="21"/>
              </w:rPr>
              <w:t>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莎士比亚作品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阅读</w:t>
            </w:r>
            <w:r>
              <w:rPr>
                <w:rFonts w:hint="eastAsia" w:ascii="宋体" w:hAnsi="宋体" w:eastAsia="宋体"/>
                <w:szCs w:val="21"/>
              </w:rPr>
              <w:t>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莎士比亚作品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能够非常好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地掌握有关莎士比亚的基本文学常识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能够很好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地掌握有关莎士比亚的基本文学常识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能够较好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地掌握有关莎士比亚的基本文学常识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能够基本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掌握有关莎士比亚的基本文学常识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不能理解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掌握有关莎士比亚的基本文学常识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能够非常好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地赏析或表演莎士比亚戏剧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能够很好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地赏析或表演莎士比亚戏剧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能够较好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地赏析或表演莎士比亚戏剧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能够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大致赏析或表演莎士比亚戏剧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赏析或表演莎士比亚戏剧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1BCB82"/>
    <w:multiLevelType w:val="singleLevel"/>
    <w:tmpl w:val="841BCB8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84D41B88"/>
    <w:multiLevelType w:val="singleLevel"/>
    <w:tmpl w:val="84D41B8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AAE33D1B"/>
    <w:multiLevelType w:val="singleLevel"/>
    <w:tmpl w:val="AAE33D1B"/>
    <w:lvl w:ilvl="0" w:tentative="0">
      <w:start w:val="2"/>
      <w:numFmt w:val="chineseCounting"/>
      <w:suff w:val="space"/>
      <w:lvlText w:val="第%1章"/>
      <w:lvlJc w:val="left"/>
      <w:rPr>
        <w:rFonts w:hint="eastAsia"/>
      </w:rPr>
    </w:lvl>
  </w:abstractNum>
  <w:abstractNum w:abstractNumId="3">
    <w:nsid w:val="27C0AD43"/>
    <w:multiLevelType w:val="singleLevel"/>
    <w:tmpl w:val="27C0AD43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1YzUyZTA5ZTRiZmFjN2M1NGE5NWRhOWIyNWIxMTIifQ=="/>
  </w:docVars>
  <w:rsids>
    <w:rsidRoot w:val="001E5724"/>
    <w:rsid w:val="00022CBB"/>
    <w:rsid w:val="00077A5F"/>
    <w:rsid w:val="000F054A"/>
    <w:rsid w:val="001E5724"/>
    <w:rsid w:val="00242673"/>
    <w:rsid w:val="00285327"/>
    <w:rsid w:val="002A7568"/>
    <w:rsid w:val="00313A87"/>
    <w:rsid w:val="00322986"/>
    <w:rsid w:val="0034254B"/>
    <w:rsid w:val="0038665C"/>
    <w:rsid w:val="004070CF"/>
    <w:rsid w:val="005A0378"/>
    <w:rsid w:val="00665621"/>
    <w:rsid w:val="006E4F82"/>
    <w:rsid w:val="006F64C9"/>
    <w:rsid w:val="007639A2"/>
    <w:rsid w:val="007C379D"/>
    <w:rsid w:val="007C62ED"/>
    <w:rsid w:val="007E39E3"/>
    <w:rsid w:val="008128AD"/>
    <w:rsid w:val="008560E2"/>
    <w:rsid w:val="00886EBF"/>
    <w:rsid w:val="00A03BBD"/>
    <w:rsid w:val="00A61EFD"/>
    <w:rsid w:val="00AA4570"/>
    <w:rsid w:val="00AA630A"/>
    <w:rsid w:val="00AE3D1A"/>
    <w:rsid w:val="00B03909"/>
    <w:rsid w:val="00B40ECD"/>
    <w:rsid w:val="00BA23F0"/>
    <w:rsid w:val="00C00798"/>
    <w:rsid w:val="00C54636"/>
    <w:rsid w:val="00CA53B2"/>
    <w:rsid w:val="00D02F99"/>
    <w:rsid w:val="00D13271"/>
    <w:rsid w:val="00D14471"/>
    <w:rsid w:val="00D417A1"/>
    <w:rsid w:val="00D504B7"/>
    <w:rsid w:val="00D715F7"/>
    <w:rsid w:val="00DD7B5F"/>
    <w:rsid w:val="00DE7849"/>
    <w:rsid w:val="00E05E8B"/>
    <w:rsid w:val="00E366AB"/>
    <w:rsid w:val="00E76E34"/>
    <w:rsid w:val="00ED7F81"/>
    <w:rsid w:val="00F56396"/>
    <w:rsid w:val="00FB77A1"/>
    <w:rsid w:val="00FC24B5"/>
    <w:rsid w:val="1690208E"/>
    <w:rsid w:val="1D0F4238"/>
    <w:rsid w:val="6DFC195B"/>
    <w:rsid w:val="7B8D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3367</Words>
  <Characters>3945</Characters>
  <Lines>13</Lines>
  <Paragraphs>3</Paragraphs>
  <TotalTime>2</TotalTime>
  <ScaleCrop>false</ScaleCrop>
  <LinksUpToDate>false</LinksUpToDate>
  <CharactersWithSpaces>4053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2020-12-08T08:33:00Z</dcterms:created>
  <dc:creator>Windows User</dc:creator>
  <cp:lastModifiedBy>WW</cp:lastModifiedBy>
  <cp:lastPrinted>2020-12-24T07:17:00Z</cp:lastPrinted>
  <dcterms:modified xsi:type="dcterms:W3CDTF">2022-12-11T16:35:53Z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A8E24CB877B14FBCBD292837B272612B</vt:lpwstr>
  </property>
</Properties>
</file>