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综合英语（五）</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翻译专业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张大群</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022</w:t>
            </w:r>
            <w:r>
              <w:rPr>
                <w:rFonts w:hint="eastAsia" w:hAnsi="宋体"/>
              </w:rPr>
              <w:t>年</w:t>
            </w:r>
            <w:r>
              <w:rPr>
                <w:rFonts w:hAnsi="宋体"/>
              </w:rPr>
              <w:t>12</w:t>
            </w:r>
            <w:r>
              <w:rPr>
                <w:rFonts w:hint="eastAsia" w:hAnsi="宋体"/>
              </w:rPr>
              <w:t>月</w:t>
            </w:r>
            <w:r>
              <w:rPr>
                <w:rFonts w:hAnsi="宋体"/>
              </w:rPr>
              <w:t>20</w:t>
            </w:r>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w:t>
      </w:r>
      <w:r>
        <w:rPr>
          <w:rFonts w:hint="eastAsia" w:hAnsi="宋体"/>
          <w:szCs w:val="21"/>
        </w:rPr>
        <w:t>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w:t>
            </w:r>
            <w:r>
              <w:rPr>
                <w:rFonts w:ascii="Times New Roman" w:hAnsi="Times New Roman" w:eastAsia="华文宋体"/>
                <w:szCs w:val="21"/>
              </w:rPr>
              <w:t>毕业要求3：</w:t>
            </w:r>
            <w:r>
              <w:rPr>
                <w:rFonts w:hint="eastAsia" w:ascii="Times New Roman" w:hAnsi="Times New Roman" w:eastAsia="华文宋体"/>
                <w:szCs w:val="21"/>
              </w:rPr>
              <w:t>学科素养</w:t>
            </w:r>
          </w:p>
          <w:p>
            <w:pPr>
              <w:pStyle w:val="4"/>
              <w:rPr>
                <w:rFonts w:hAnsi="宋体" w:cs="宋体"/>
              </w:rPr>
            </w:pPr>
            <w:r>
              <w:rPr>
                <w:rFonts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173A8F"/>
    <w:rsid w:val="001D077F"/>
    <w:rsid w:val="00243D49"/>
    <w:rsid w:val="003133DD"/>
    <w:rsid w:val="00381B0E"/>
    <w:rsid w:val="003D02A5"/>
    <w:rsid w:val="00406419"/>
    <w:rsid w:val="00515E45"/>
    <w:rsid w:val="005C4114"/>
    <w:rsid w:val="00714302"/>
    <w:rsid w:val="00961ABF"/>
    <w:rsid w:val="00962A63"/>
    <w:rsid w:val="009A6F62"/>
    <w:rsid w:val="00A97439"/>
    <w:rsid w:val="00AB6E8D"/>
    <w:rsid w:val="00B9198C"/>
    <w:rsid w:val="00BA0398"/>
    <w:rsid w:val="00BE1AC3"/>
    <w:rsid w:val="00CA39B0"/>
    <w:rsid w:val="00D45737"/>
    <w:rsid w:val="00E15E27"/>
    <w:rsid w:val="00EC52F2"/>
    <w:rsid w:val="00F57708"/>
    <w:rsid w:val="00F872F4"/>
    <w:rsid w:val="00FA341A"/>
    <w:rsid w:val="07A022FC"/>
    <w:rsid w:val="146553BB"/>
    <w:rsid w:val="2D8C68BB"/>
    <w:rsid w:val="332E0E66"/>
    <w:rsid w:val="36D82E33"/>
    <w:rsid w:val="3A1F25C0"/>
    <w:rsid w:val="3D416116"/>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pPr>
    <w:rPr>
      <w:sz w:val="18"/>
      <w:szCs w:val="18"/>
    </w:rPr>
  </w:style>
  <w:style w:type="paragraph" w:styleId="7">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uiPriority w:val="0"/>
    <w:rPr>
      <w:rFonts w:hint="default" w:ascii="Times New Roman" w:hAnsi="Times New Roman" w:cs="Times New Roman"/>
      <w:b/>
      <w:bCs/>
      <w:color w:val="000000"/>
      <w:sz w:val="28"/>
      <w:szCs w:val="28"/>
      <w:u w:val="none"/>
    </w:rPr>
  </w:style>
  <w:style w:type="character" w:customStyle="1" w:styleId="19">
    <w:name w:val="font31"/>
    <w:basedOn w:val="11"/>
    <w:uiPriority w:val="0"/>
    <w:rPr>
      <w:rFonts w:hint="default" w:ascii="楷体_GB2312" w:eastAsia="楷体_GB2312" w:cs="楷体_GB2312"/>
      <w:b/>
      <w:bCs/>
      <w:color w:val="000000"/>
      <w:sz w:val="28"/>
      <w:szCs w:val="28"/>
      <w:u w:val="none"/>
    </w:rPr>
  </w:style>
  <w:style w:type="character" w:customStyle="1" w:styleId="20">
    <w:name w:val="font41"/>
    <w:basedOn w:val="11"/>
    <w:qFormat/>
    <w:uiPriority w:val="0"/>
    <w:rPr>
      <w:rFonts w:hint="default" w:ascii="Times New Roman" w:hAnsi="Times New Roman" w:cs="Times New Roman"/>
      <w:color w:val="000000"/>
      <w:sz w:val="24"/>
      <w:szCs w:val="24"/>
      <w:u w:val="none"/>
    </w:rPr>
  </w:style>
  <w:style w:type="character" w:customStyle="1" w:styleId="21">
    <w:name w:val="font01"/>
    <w:basedOn w:val="11"/>
    <w:qFormat/>
    <w:uiPriority w:val="0"/>
    <w:rPr>
      <w:rFonts w:hint="eastAsia" w:ascii="宋体" w:hAnsi="宋体" w:eastAsia="宋体" w:cs="宋体"/>
      <w:color w:val="000000"/>
      <w:sz w:val="24"/>
      <w:szCs w:val="24"/>
      <w:u w:val="none"/>
    </w:rPr>
  </w:style>
  <w:style w:type="character" w:customStyle="1" w:styleId="22">
    <w:name w:val="font71"/>
    <w:basedOn w:val="11"/>
    <w:qFormat/>
    <w:uiPriority w:val="0"/>
    <w:rPr>
      <w:rFonts w:hint="default" w:ascii="Times New Roman" w:hAnsi="Times New Roman" w:cs="Times New Roman"/>
      <w:b/>
      <w:bCs/>
      <w:i/>
      <w:iCs/>
      <w:color w:val="000000"/>
      <w:sz w:val="21"/>
      <w:szCs w:val="21"/>
      <w:u w:val="none"/>
    </w:rPr>
  </w:style>
  <w:style w:type="character" w:customStyle="1" w:styleId="23">
    <w:name w:val="font61"/>
    <w:basedOn w:val="11"/>
    <w:qFormat/>
    <w:uiPriority w:val="0"/>
    <w:rPr>
      <w:rFonts w:hint="default" w:ascii="Times New Roman" w:hAnsi="Times New Roman" w:cs="Times New Roman"/>
      <w:color w:val="000000"/>
      <w:sz w:val="21"/>
      <w:szCs w:val="21"/>
      <w:u w:val="none"/>
    </w:rPr>
  </w:style>
  <w:style w:type="character" w:customStyle="1" w:styleId="24">
    <w:name w:val="页眉 字符"/>
    <w:basedOn w:val="11"/>
    <w:link w:val="7"/>
    <w:qFormat/>
    <w:uiPriority w:val="99"/>
    <w:rPr>
      <w:rFonts w:ascii="宋体" w:hAnsi="Tms Rmn"/>
      <w:sz w:val="18"/>
      <w:szCs w:val="18"/>
    </w:rPr>
  </w:style>
  <w:style w:type="character" w:customStyle="1" w:styleId="25">
    <w:name w:val="页脚 字符"/>
    <w:basedOn w:val="11"/>
    <w:link w:val="6"/>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5328</Words>
  <Characters>10610</Characters>
  <Lines>89</Lines>
  <Paragraphs>25</Paragraphs>
  <TotalTime>3</TotalTime>
  <ScaleCrop>false</ScaleCrop>
  <LinksUpToDate>false</LinksUpToDate>
  <CharactersWithSpaces>11990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2023-01-12T06:54:00Z</dcterms:created>
  <dc:creator>ClairSong</dc:creator>
  <cp:lastModifiedBy>Administrator</cp:lastModifiedBy>
  <dcterms:modified xsi:type="dcterms:W3CDTF">2023-05-14T10:44:27Z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D57B446900AC43C2B0F8076E26D6211E</vt:lpwstr>
  </property>
</Properties>
</file>