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lang w:eastAsia="zh-CN"/>
        </w:rPr>
        <w:t>《</w:t>
      </w:r>
      <w:r>
        <w:rPr>
          <w:rFonts w:hint="eastAsia" w:ascii="黑体" w:hAnsi="黑体" w:cstheme="minorBidi"/>
          <w:bCs w:val="0"/>
          <w:kern w:val="2"/>
        </w:rPr>
        <w:t>综合英语（五）</w:t>
      </w:r>
      <w:bookmarkEnd w:id="0"/>
      <w:r>
        <w:rPr>
          <w:rFonts w:hint="eastAsia" w:ascii="黑体" w:hAnsi="黑体" w:cstheme="minorBidi"/>
          <w:bCs w:val="0"/>
          <w:kern w:val="2"/>
          <w:lang w:eastAsia="zh-CN"/>
        </w:rPr>
        <w:t>》</w:t>
      </w:r>
      <w:bookmarkStart w:id="1" w:name="_GoBack"/>
      <w:bookmarkEnd w:id="1"/>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英语专业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宋艳芳</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022</w:t>
            </w:r>
            <w:r>
              <w:rPr>
                <w:rFonts w:hint="eastAsia" w:hAnsi="宋体"/>
              </w:rPr>
              <w:t>年</w:t>
            </w:r>
            <w:r>
              <w:rPr>
                <w:rFonts w:hAnsi="宋体"/>
              </w:rPr>
              <w:t>12</w:t>
            </w:r>
            <w:r>
              <w:rPr>
                <w:rFonts w:hint="eastAsia" w:hAnsi="宋体"/>
              </w:rPr>
              <w:t>月</w:t>
            </w:r>
            <w:r>
              <w:rPr>
                <w:rFonts w:hAnsi="宋体"/>
              </w:rPr>
              <w:t>20</w:t>
            </w:r>
            <w:r>
              <w:rPr>
                <w:rFonts w:hint="eastAsia"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pacing w:before="156" w:beforeLines="50" w:after="156" w:afterLines="50"/>
              <w:rPr>
                <w:rFonts w:hAnsi="宋体"/>
                <w:lang w:val="en-GB"/>
              </w:rPr>
            </w:pPr>
            <w:r>
              <w:rPr>
                <w:rFonts w:hint="eastAsia"/>
                <w:sz w:val="21"/>
                <w:szCs w:val="21"/>
              </w:rPr>
              <w:t>何兆熊、顾大僖《综合教程 5》</w:t>
            </w:r>
            <w:r>
              <w:rPr>
                <w:rFonts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w:t>
      </w:r>
      <w:r>
        <w:rPr>
          <w:rFonts w:hint="eastAsia" w:hAnsi="宋体"/>
          <w:szCs w:val="21"/>
        </w:rPr>
        <w:t>上学期</w:t>
      </w:r>
      <w:r>
        <w:rPr>
          <w:rFonts w:hAnsi="宋体"/>
          <w:szCs w:val="21"/>
        </w:rPr>
        <w:t>必修课程。</w:t>
      </w:r>
      <w:r>
        <w:rPr>
          <w:rFonts w:hint="eastAsia" w:hAnsi="宋体"/>
          <w:szCs w:val="21"/>
        </w:rPr>
        <w:t>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ascii="黑体" w:hAnsi="宋体"/>
          <w:b/>
          <w:bCs/>
          <w:szCs w:val="21"/>
        </w:rPr>
      </w:pP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993"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3260"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685"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993" w:type="dxa"/>
            <w:vAlign w:val="center"/>
          </w:tcPr>
          <w:p>
            <w:pPr>
              <w:pStyle w:val="4"/>
              <w:spacing w:before="156" w:beforeLines="50" w:after="156" w:afterLines="50"/>
              <w:jc w:val="center"/>
              <w:rPr>
                <w:rFonts w:hAnsi="宋体" w:cs="宋体"/>
              </w:rPr>
            </w:pPr>
            <w:r>
              <w:rPr>
                <w:rFonts w:hint="eastAsia" w:hAnsi="宋体" w:cs="宋体"/>
              </w:rPr>
              <w:t>1.1</w:t>
            </w:r>
          </w:p>
        </w:tc>
        <w:tc>
          <w:tcPr>
            <w:tcW w:w="3260" w:type="dxa"/>
            <w:vAlign w:val="center"/>
          </w:tcPr>
          <w:p>
            <w:pPr>
              <w:pStyle w:val="4"/>
              <w:spacing w:before="156" w:beforeLines="50" w:after="156" w:afterLines="50"/>
              <w:rPr>
                <w:rFonts w:hAnsi="宋体" w:cs="宋体"/>
              </w:rPr>
            </w:pPr>
            <w:r>
              <w:rPr>
                <w:rFonts w:hint="eastAsia" w:ascii="Times New Roman"/>
              </w:rPr>
              <w:t>帮助学术掌握扎实的英语基本技能，系统掌握英语语言知识</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w:t>
            </w:r>
            <w:r>
              <w:rPr>
                <w:rFonts w:ascii="Times New Roman" w:hAnsi="Times New Roman" w:eastAsia="华文宋体"/>
                <w:szCs w:val="21"/>
              </w:rPr>
              <w:t>毕业要求3：</w:t>
            </w:r>
            <w:r>
              <w:rPr>
                <w:rFonts w:hint="eastAsia" w:ascii="Times New Roman" w:hAnsi="Times New Roman" w:eastAsia="华文宋体"/>
                <w:szCs w:val="21"/>
              </w:rPr>
              <w:t>学科素养</w:t>
            </w:r>
          </w:p>
          <w:p>
            <w:pPr>
              <w:pStyle w:val="4"/>
              <w:rPr>
                <w:rFonts w:hAnsi="宋体" w:cs="宋体"/>
              </w:rPr>
            </w:pPr>
            <w:r>
              <w:rPr>
                <w:rFonts w:ascii="Times New Roman" w:hAnsi="Times New Roman" w:eastAsia="华文宋体"/>
                <w:szCs w:val="21"/>
              </w:rPr>
              <w:t>熟练掌握英语的听、说、读、写、译技能，具备较强的英语综合运用能力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rPr>
            </w:pPr>
            <w:r>
              <w:rPr>
                <w:rFonts w:hint="eastAsia" w:hAnsi="宋体" w:cs="宋体"/>
              </w:rPr>
              <w:t>1.2</w:t>
            </w:r>
          </w:p>
        </w:tc>
        <w:tc>
          <w:tcPr>
            <w:tcW w:w="3260" w:type="dxa"/>
            <w:vAlign w:val="center"/>
          </w:tcPr>
          <w:p>
            <w:pPr>
              <w:pStyle w:val="4"/>
              <w:spacing w:before="156" w:beforeLines="50" w:after="156" w:afterLines="50"/>
              <w:rPr>
                <w:rFonts w:hAnsi="宋体" w:cs="宋体"/>
              </w:rPr>
            </w:pPr>
            <w:r>
              <w:rPr>
                <w:rFonts w:hint="eastAsia" w:hAnsi="宋体" w:cs="宋体"/>
              </w:rPr>
              <w:t>指导学生</w:t>
            </w:r>
            <w:r>
              <w:rPr>
                <w:rFonts w:hint="eastAsia"/>
                <w:sz w:val="21"/>
                <w:szCs w:val="21"/>
              </w:rPr>
              <w:t>分析文本的语篇结构，了解文章修辞特征</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993" w:type="dxa"/>
            <w:vAlign w:val="center"/>
          </w:tcPr>
          <w:p>
            <w:pPr>
              <w:pStyle w:val="4"/>
              <w:spacing w:before="156" w:beforeLines="50" w:after="156" w:afterLines="50"/>
              <w:jc w:val="center"/>
              <w:rPr>
                <w:rFonts w:hAnsi="宋体" w:cs="宋体"/>
              </w:rPr>
            </w:pPr>
            <w:r>
              <w:rPr>
                <w:rFonts w:hint="eastAsia" w:hAnsi="宋体" w:cs="宋体"/>
              </w:rPr>
              <w:t>2</w:t>
            </w:r>
          </w:p>
        </w:tc>
        <w:tc>
          <w:tcPr>
            <w:tcW w:w="3260" w:type="dxa"/>
            <w:vAlign w:val="center"/>
          </w:tcPr>
          <w:p>
            <w:pPr>
              <w:pStyle w:val="4"/>
              <w:spacing w:before="156" w:beforeLines="50" w:after="156" w:afterLines="50"/>
              <w:rPr>
                <w:rFonts w:hAnsi="宋体" w:cs="宋体"/>
              </w:rPr>
            </w:pPr>
            <w:r>
              <w:rPr>
                <w:rFonts w:hint="eastAsia" w:ascii="Times New Roman" w:hAnsi="Times New Roman"/>
              </w:rPr>
              <w:t>在课文讲解中鼓励学生发现问题并提出解决问题的方案</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hint="eastAsia"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260" w:type="dxa"/>
            <w:vAlign w:val="center"/>
          </w:tcPr>
          <w:p>
            <w:pPr>
              <w:pStyle w:val="4"/>
              <w:spacing w:before="156" w:beforeLines="50" w:after="156" w:afterLines="50"/>
              <w:rPr>
                <w:rFonts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260" w:type="dxa"/>
            <w:vAlign w:val="center"/>
          </w:tcPr>
          <w:p>
            <w:pPr>
              <w:pStyle w:val="4"/>
              <w:spacing w:before="156" w:beforeLines="50" w:after="156" w:afterLines="50"/>
              <w:rPr>
                <w:rFonts w:ascii="黑体" w:hAnsi="宋体"/>
                <w:szCs w:val="21"/>
              </w:rPr>
            </w:pPr>
            <w:r>
              <w:rPr>
                <w:rFonts w:hint="eastAsia" w:ascii="Times New Roman"/>
              </w:rPr>
              <w:t>树立自主学习的理念，学会自我反思，监察自己的学习进展。</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260" w:type="dxa"/>
            <w:vAlign w:val="center"/>
          </w:tcPr>
          <w:p>
            <w:pPr>
              <w:pStyle w:val="4"/>
              <w:spacing w:before="156" w:beforeLines="50" w:after="156" w:afterLines="50"/>
              <w:rPr>
                <w:rFonts w:ascii="黑体" w:hAnsi="宋体"/>
                <w:szCs w:val="21"/>
              </w:rPr>
            </w:pPr>
            <w:r>
              <w:rPr>
                <w:rFonts w:hint="eastAsia" w:ascii="Times New Roman"/>
              </w:rPr>
              <w:t>培养学生具备自我监控学习进展、自我反思评价的自主学习能力和批判性思维能力</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在课文讲解基础上，布置拓展阅读人文，拓宽文学文化等相关知识，积累中外人文知识</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260" w:type="dxa"/>
            <w:vAlign w:val="center"/>
          </w:tcPr>
          <w:p>
            <w:pPr>
              <w:pStyle w:val="4"/>
              <w:spacing w:before="156" w:beforeLines="50" w:after="156" w:afterLines="50"/>
              <w:rPr>
                <w:rFonts w:ascii="Times New Roman" w:hAnsi="Times New Roman"/>
              </w:rPr>
            </w:pPr>
            <w:r>
              <w:rPr>
                <w:rFonts w:hint="eastAsia" w:ascii="Times New Roman" w:hAnsi="Times New Roman"/>
              </w:rPr>
              <w:t>在拓展话题讨论中，培养理性思维，鼓励质疑和探究精神</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Force of Nature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features of English descriptive narration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metaphorical language</w:t>
      </w:r>
    </w:p>
    <w:p>
      <w:pPr>
        <w:widowControl/>
        <w:ind w:firstLine="420" w:firstLineChars="200"/>
        <w:rPr>
          <w:rFonts w:ascii="Times New Roman" w:hAnsi="Times New Roman"/>
          <w:sz w:val="21"/>
          <w:szCs w:val="21"/>
        </w:rPr>
      </w:pPr>
      <w:r>
        <w:rPr>
          <w:rFonts w:ascii="Times New Roman" w:hAnsi="Times New Roman"/>
          <w:sz w:val="21"/>
          <w:szCs w:val="21"/>
        </w:rPr>
        <w:t>（4）Theme: icon and real person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(1) Why was Marie Curie portrayed as a flesh-and-blood woman? What specific personal traits contribute to her accomplishments?</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Will you idolize Marie Curie? Why/Why not? What is an ideal idol?</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5 Give Me Liberty or Give Me Death</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（1）Speak persuasively: tips for public speake</w:t>
      </w:r>
      <w:r>
        <w:rPr>
          <w:rFonts w:hint="eastAsia" w:ascii="Times New Roman" w:hAnsi="Times New Roman"/>
          <w:sz w:val="21"/>
          <w:szCs w:val="21"/>
        </w:rPr>
        <w:t>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rhetorical devices in speech</w:t>
      </w:r>
    </w:p>
    <w:p>
      <w:pPr>
        <w:widowControl/>
        <w:ind w:firstLine="420" w:firstLineChars="200"/>
        <w:rPr>
          <w:rFonts w:ascii="Times New Roman" w:hAnsi="Times New Roman"/>
          <w:sz w:val="21"/>
          <w:szCs w:val="21"/>
        </w:rPr>
      </w:pPr>
      <w:r>
        <w:rPr>
          <w:rFonts w:ascii="Times New Roman" w:hAnsi="Times New Roman"/>
          <w:sz w:val="21"/>
          <w:szCs w:val="21"/>
        </w:rPr>
        <w:t>（4）American Independence War</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(1) In what way is Patrick Henry’s speech powerful and convincing? What do you learn about the art of making a speech through this example? What do you think makes a good speech?</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What is the orator</w:t>
      </w:r>
      <w:r>
        <w:rPr>
          <w:rStyle w:val="17"/>
          <w:rFonts w:ascii="Times New Roman" w:hAnsi="Times New Roman" w:cs="Times New Roman"/>
          <w:sz w:val="21"/>
          <w:szCs w:val="21"/>
        </w:rPr>
        <w:t>’</w:t>
      </w:r>
      <w:r>
        <w:rPr>
          <w:rStyle w:val="17"/>
          <w:rFonts w:hint="eastAsia" w:ascii="Times New Roman" w:hAnsi="Times New Roman" w:cs="Times New Roman"/>
          <w:sz w:val="21"/>
          <w:szCs w:val="21"/>
        </w:rPr>
        <w:t xml:space="preserve">s prediction/judgement about possible intention of the British government? How does he come to this judgment?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How America Lives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（1）Expositive writing developed by fact</w:t>
      </w:r>
      <w:r>
        <w:rPr>
          <w:rFonts w:hint="eastAsia" w:ascii="Times New Roman" w:hAnsi="Times New Roman"/>
          <w:sz w:val="21"/>
          <w:szCs w:val="21"/>
        </w:rPr>
        <w:t>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deductive method, topic sentence</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 survival of the American system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the author’s view of America? Do you agree with his views regarding American education, housing or even the government system? Why or why not?</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 xml:space="preserve">(2) </w:t>
      </w:r>
      <w:r>
        <w:rPr>
          <w:rStyle w:val="17"/>
          <w:rFonts w:hint="eastAsia" w:ascii="Times New Roman" w:hAnsi="Times New Roman" w:cs="Times New Roman" w:eastAsiaTheme="minorEastAsia"/>
          <w:sz w:val="21"/>
          <w:szCs w:val="21"/>
        </w:rPr>
        <w:t xml:space="preserve">The author has a strong belief in the American system and it bright future. How about you?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Kids and Computers: Digital Danger</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contras</w:t>
      </w:r>
      <w:r>
        <w:rPr>
          <w:rFonts w:hint="eastAsia" w:ascii="Times New Roman" w:hAnsi="Times New Roman"/>
          <w:sz w:val="21"/>
          <w:szCs w:val="21"/>
        </w:rPr>
        <w:t>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persuasive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humanity and technolog</w:t>
      </w:r>
      <w:r>
        <w:rPr>
          <w:rFonts w:hint="eastAsia" w:ascii="Times New Roman" w:hAnsi="Times New Roman"/>
          <w:sz w:val="21"/>
          <w:szCs w:val="21"/>
        </w:rPr>
        <w: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Style w:val="17"/>
          <w:rFonts w:hint="eastAsia" w:ascii="Times New Roman" w:hAnsi="Times New Roman" w:eastAsiaTheme="minorEastAsia"/>
          <w:sz w:val="21"/>
          <w:szCs w:val="21"/>
        </w:rPr>
        <w:t>(1) What is the author’s view of computers? Are there any specific points that impressed you most, and why? What is your view of computers/mobile phones based on your experiences? Are they helpful or harmful in your life/study?</w:t>
      </w:r>
    </w:p>
    <w:p>
      <w:pPr>
        <w:pStyle w:val="8"/>
        <w:spacing w:before="0" w:beforeAutospacing="0" w:after="0" w:afterAutospacing="0"/>
        <w:ind w:left="600" w:leftChars="300"/>
        <w:rPr>
          <w:rStyle w:val="17"/>
          <w:rFonts w:ascii="Times New Roman" w:hAnsi="Times New Roman" w:cs="Times New Roman" w:eastAsiaTheme="minorEastAsia"/>
          <w:sz w:val="21"/>
          <w:szCs w:val="21"/>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Do you have any suggestions to improve the current situation of the digital danger to which so many children are exposed?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10 The New Immorality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compare and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the crisis of morality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 xml:space="preserve">What is </w:t>
      </w:r>
      <w:r>
        <w:rPr>
          <w:rFonts w:ascii="Times New Roman" w:hAnsi="Times New Roman"/>
          <w:sz w:val="21"/>
          <w:szCs w:val="21"/>
        </w:rPr>
        <w:t>“</w:t>
      </w:r>
      <w:r>
        <w:rPr>
          <w:rStyle w:val="17"/>
          <w:rFonts w:hint="eastAsia" w:ascii="Times New Roman" w:hAnsi="Times New Roman" w:eastAsiaTheme="minorEastAsia"/>
          <w:sz w:val="21"/>
          <w:szCs w:val="21"/>
        </w:rPr>
        <w:t>the new immorality</w:t>
      </w:r>
      <w:r>
        <w:rPr>
          <w:rFonts w:ascii="Times New Roman" w:hAnsi="Times New Roman"/>
          <w:sz w:val="21"/>
          <w:szCs w:val="21"/>
        </w:rPr>
        <w:t>”</w:t>
      </w:r>
      <w:r>
        <w:rPr>
          <w:rStyle w:val="17"/>
          <w:rFonts w:hint="eastAsia" w:ascii="Times New Roman" w:hAnsi="Times New Roman" w:eastAsiaTheme="minorEastAsia"/>
          <w:sz w:val="21"/>
          <w:szCs w:val="21"/>
        </w:rPr>
        <w:t xml:space="preserve"> in the text? What is the author</w:t>
      </w:r>
      <w:r>
        <w:rPr>
          <w:rStyle w:val="17"/>
          <w:rFonts w:ascii="Times New Roman" w:hAnsi="Times New Roman" w:eastAsiaTheme="minorEastAsia"/>
          <w:sz w:val="21"/>
          <w:szCs w:val="21"/>
        </w:rPr>
        <w:t>’</w:t>
      </w:r>
      <w:r>
        <w:rPr>
          <w:rStyle w:val="17"/>
          <w:rFonts w:hint="eastAsia" w:ascii="Times New Roman" w:hAnsi="Times New Roman" w:eastAsiaTheme="minorEastAsia"/>
          <w:sz w:val="21"/>
          <w:szCs w:val="21"/>
        </w:rPr>
        <w:t xml:space="preserve">s attitude towards this </w:t>
      </w:r>
      <w:r>
        <w:rPr>
          <w:rFonts w:ascii="Times New Roman" w:hAnsi="Times New Roman"/>
          <w:sz w:val="21"/>
          <w:szCs w:val="21"/>
        </w:rPr>
        <w:t>“</w:t>
      </w:r>
      <w:r>
        <w:rPr>
          <w:rStyle w:val="17"/>
          <w:rFonts w:hint="eastAsia" w:ascii="Times New Roman" w:hAnsi="Times New Roman" w:eastAsiaTheme="minorEastAsia"/>
          <w:sz w:val="21"/>
          <w:szCs w:val="21"/>
        </w:rPr>
        <w:t>new immorality”? What is your attitude towards it?</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According to the author, what is </w:t>
      </w:r>
      <w:r>
        <w:rPr>
          <w:rStyle w:val="17"/>
          <w:rFonts w:ascii="Times New Roman" w:hAnsi="Times New Roman" w:cs="Times New Roman" w:eastAsiaTheme="minorEastAsia"/>
          <w:sz w:val="21"/>
          <w:szCs w:val="21"/>
        </w:rPr>
        <w:t>“</w:t>
      </w:r>
      <w:r>
        <w:rPr>
          <w:rStyle w:val="17"/>
          <w:rFonts w:hint="eastAsia" w:ascii="Times New Roman" w:hAnsi="Times New Roman" w:cs="Times New Roman" w:eastAsiaTheme="minorEastAsia"/>
          <w:sz w:val="21"/>
          <w:szCs w:val="21"/>
        </w:rPr>
        <w:t>social usefulness</w:t>
      </w:r>
      <w:r>
        <w:rPr>
          <w:rFonts w:ascii="Times New Roman" w:hAnsi="Times New Roman" w:cs="Times New Roman"/>
          <w:sz w:val="21"/>
          <w:szCs w:val="21"/>
        </w:rPr>
        <w:t>”</w:t>
      </w:r>
      <w:r>
        <w:rPr>
          <w:rStyle w:val="17"/>
          <w:rFonts w:hint="eastAsia" w:ascii="Times New Roman" w:hAnsi="Times New Roman" w:cs="Times New Roman" w:eastAsiaTheme="minorEastAsia"/>
          <w:sz w:val="21"/>
          <w:szCs w:val="21"/>
        </w:rPr>
        <w:t>? What is your understanding on this term in our society?</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Beauty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classification,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beauty and “against interpretation”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beauty? What does beauty mean to people in ancient time and in today’s modern world? What do you think has changed the notion of beauty?</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What is the author’s major argument or view of beauty in relation to women? Do you agree with her? Do you have any suggestions about saving women out of the beauty trap or helping them to better protect their rights and interests?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14 Are We Raising a Generation of Spoilt Brats?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 simile, quotations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argumentation by cause-effect analysis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raising children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For what reason, according to the text, do parents find it so difficult to say no to their children? To what extent can people say parenthood has become a life sentence?</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Many young people born in the late 1990s in China are accustomed to being the center of attention in their families. More often than not, they are ready to take rather than to give. What are some feasible ways to change this take-and-give attitude toward their parents as well as people around them?</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第八课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4</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5</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10</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9"/>
        <w:tblW w:w="8681" w:type="dxa"/>
        <w:tblInd w:w="98" w:type="dxa"/>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Course Orientation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20"/>
                <w:color w:val="auto"/>
                <w:sz w:val="21"/>
                <w:szCs w:val="21"/>
                <w:lang w:bidi="ar"/>
              </w:rPr>
              <w:t>Unit 4</w:t>
            </w:r>
            <w:r>
              <w:rPr>
                <w:rStyle w:val="21"/>
                <w:rFonts w:hint="default"/>
                <w:color w:val="auto"/>
                <w:sz w:val="21"/>
                <w:szCs w:val="21"/>
                <w:lang w:bidi="ar"/>
              </w:rPr>
              <w:t>，</w:t>
            </w:r>
            <w:r>
              <w:rPr>
                <w:rStyle w:val="20"/>
                <w:color w:val="auto"/>
                <w:sz w:val="21"/>
                <w:szCs w:val="21"/>
                <w:lang w:bidi="ar"/>
              </w:rPr>
              <w:t>5</w:t>
            </w:r>
            <w:r>
              <w:rPr>
                <w:rStyle w:val="21"/>
                <w:rFonts w:hint="default"/>
                <w:color w:val="auto"/>
                <w:sz w:val="21"/>
                <w:szCs w:val="21"/>
                <w:lang w:bidi="ar"/>
              </w:rPr>
              <w:t>，</w:t>
            </w:r>
            <w:r>
              <w:rPr>
                <w:rStyle w:val="20"/>
                <w:color w:val="auto"/>
                <w:sz w:val="21"/>
                <w:szCs w:val="21"/>
                <w:lang w:bidi="ar"/>
              </w:rPr>
              <w:t>6</w:t>
            </w:r>
            <w:r>
              <w:rPr>
                <w:rStyle w:val="21"/>
                <w:rFonts w:hint="default"/>
                <w:color w:val="auto"/>
                <w:sz w:val="21"/>
                <w:szCs w:val="21"/>
                <w:lang w:bidi="ar"/>
              </w:rPr>
              <w:t>，</w:t>
            </w:r>
            <w:r>
              <w:rPr>
                <w:rStyle w:val="20"/>
                <w:color w:val="auto"/>
                <w:sz w:val="21"/>
                <w:szCs w:val="21"/>
                <w:lang w:bidi="ar"/>
              </w:rPr>
              <w:t>9</w:t>
            </w:r>
            <w:r>
              <w:rPr>
                <w:rStyle w:val="21"/>
                <w:rFonts w:hint="default"/>
                <w:color w:val="auto"/>
                <w:sz w:val="21"/>
                <w:szCs w:val="21"/>
                <w:lang w:bidi="ar"/>
              </w:rPr>
              <w:t>，</w:t>
            </w:r>
            <w:r>
              <w:rPr>
                <w:rStyle w:val="20"/>
                <w:color w:val="auto"/>
                <w:sz w:val="21"/>
                <w:szCs w:val="21"/>
                <w:lang w:bidi="ar"/>
              </w:rPr>
              <w:t>10</w:t>
            </w:r>
            <w:r>
              <w:rPr>
                <w:rStyle w:val="21"/>
                <w:rFonts w:hint="default"/>
                <w:color w:val="auto"/>
                <w:sz w:val="21"/>
                <w:szCs w:val="21"/>
                <w:lang w:bidi="ar"/>
              </w:rPr>
              <w:t>，</w:t>
            </w:r>
            <w:r>
              <w:rPr>
                <w:rStyle w:val="20"/>
                <w:color w:val="auto"/>
                <w:sz w:val="21"/>
                <w:szCs w:val="21"/>
                <w:lang w:bidi="ar"/>
              </w:rPr>
              <w:t>11</w:t>
            </w:r>
            <w:r>
              <w:rPr>
                <w:rStyle w:val="21"/>
                <w:rFonts w:hint="default"/>
                <w:color w:val="auto"/>
                <w:sz w:val="21"/>
                <w:szCs w:val="21"/>
                <w:lang w:bidi="ar"/>
              </w:rPr>
              <w:t>，</w:t>
            </w:r>
            <w:r>
              <w:rPr>
                <w:rStyle w:val="20"/>
                <w:color w:val="auto"/>
                <w:sz w:val="21"/>
                <w:szCs w:val="21"/>
                <w:lang w:bidi="ar"/>
              </w:rPr>
              <w:t>14</w:t>
            </w:r>
            <w:r>
              <w:rPr>
                <w:rStyle w:val="21"/>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5: Give me Liberty or Give Me Death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Unit 5: Give me Liberty or Give Me Death</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6: How America Lives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How America Lives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r>
              <w:rPr>
                <w:rStyle w:val="23"/>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10: The New Immorality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10: The New Immorality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16</w:t>
            </w:r>
          </w:p>
          <w:p>
            <w:pPr>
              <w:widowControl/>
              <w:jc w:val="center"/>
              <w:textAlignment w:val="center"/>
              <w:rPr>
                <w:rFonts w:ascii="Times New Roman" w:hAnsi="Times New Roman"/>
                <w:sz w:val="21"/>
                <w:szCs w:val="21"/>
              </w:rPr>
            </w:pPr>
            <w:r>
              <w:rPr>
                <w:rFonts w:hint="eastAsia" w:ascii="Times New Roman" w:hAnsi="Times New Roman"/>
                <w:sz w:val="21"/>
                <w:szCs w:val="21"/>
              </w:rPr>
              <w:t>17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Final course review </w:t>
            </w:r>
            <w:r>
              <w:rPr>
                <w:rStyle w:val="22"/>
                <w:color w:val="auto"/>
                <w:lang w:bidi="ar"/>
              </w:rPr>
              <w:t xml:space="preserve">                                                      Oral exam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5"/>
        <w:numPr>
          <w:ilvl w:val="0"/>
          <w:numId w:val="2"/>
        </w:numPr>
        <w:snapToGrid w:val="0"/>
        <w:ind w:firstLineChars="0"/>
        <w:jc w:val="both"/>
        <w:rPr>
          <w:rFonts w:hAnsi="宋体"/>
        </w:rPr>
      </w:pPr>
      <w:r>
        <w:rPr>
          <w:rFonts w:hint="eastAsia" w:hAnsi="宋体"/>
        </w:rPr>
        <w:t>《英语》第5册，黄源深主编，上海外语教育出版社，1996年第1版。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《综合教程·教师用书》（第五册），何兆熊主编，上海外语教育出版社，2013年第2版。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3117"/>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b/>
              </w:rPr>
            </w:pPr>
            <w:r>
              <w:rPr>
                <w:rFonts w:hint="eastAsia" w:hAnsi="宋体"/>
                <w:b/>
              </w:rPr>
              <w:t>课程目标</w:t>
            </w:r>
          </w:p>
        </w:tc>
        <w:tc>
          <w:tcPr>
            <w:tcW w:w="3117"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课程目标1</w:t>
            </w:r>
          </w:p>
        </w:tc>
        <w:tc>
          <w:tcPr>
            <w:tcW w:w="3117" w:type="dxa"/>
            <w:vAlign w:val="center"/>
          </w:tcPr>
          <w:p>
            <w:pPr>
              <w:pStyle w:val="4"/>
              <w:spacing w:before="156" w:beforeLines="50" w:after="156" w:afterLines="50"/>
              <w:jc w:val="center"/>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课程目标2</w:t>
            </w:r>
          </w:p>
        </w:tc>
        <w:tc>
          <w:tcPr>
            <w:tcW w:w="3117" w:type="dxa"/>
            <w:vAlign w:val="center"/>
          </w:tcPr>
          <w:p>
            <w:pPr>
              <w:pStyle w:val="4"/>
              <w:spacing w:before="156" w:beforeLines="50" w:after="156" w:afterLines="50"/>
              <w:jc w:val="center"/>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课程目标3</w:t>
            </w:r>
          </w:p>
        </w:tc>
        <w:tc>
          <w:tcPr>
            <w:tcW w:w="3117"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课程目标4</w:t>
            </w:r>
          </w:p>
        </w:tc>
        <w:tc>
          <w:tcPr>
            <w:tcW w:w="3117"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课程目标5</w:t>
            </w:r>
          </w:p>
        </w:tc>
        <w:tc>
          <w:tcPr>
            <w:tcW w:w="3117"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 xml:space="preserve">（三）评分标准 </w:t>
      </w:r>
      <w:r>
        <w:rPr>
          <w:rFonts w:hint="eastAsia" w:hAnsi="宋体"/>
          <w:szCs w:val="21"/>
        </w:rPr>
        <w:t>（小四号黑体）</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right"/>
        <w:rPr>
          <w:rFonts w:ascii="Times New Roman" w:hAnsi="Times New Roman"/>
          <w:sz w:val="24"/>
          <w:szCs w:val="24"/>
        </w:rPr>
      </w:pPr>
      <w:r>
        <w:rPr>
          <w:rFonts w:hint="eastAsia" w:ascii="Times New Roman" w:hAnsi="Times New Roman"/>
          <w:sz w:val="21"/>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2854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9A6F62"/>
    <w:rsid w:val="000201C6"/>
    <w:rsid w:val="00173A8F"/>
    <w:rsid w:val="001D077F"/>
    <w:rsid w:val="003133DD"/>
    <w:rsid w:val="00381B0E"/>
    <w:rsid w:val="003D02A5"/>
    <w:rsid w:val="00406419"/>
    <w:rsid w:val="00515E45"/>
    <w:rsid w:val="00594C23"/>
    <w:rsid w:val="005C4114"/>
    <w:rsid w:val="005D56E8"/>
    <w:rsid w:val="0068572F"/>
    <w:rsid w:val="00961ABF"/>
    <w:rsid w:val="00962A63"/>
    <w:rsid w:val="009A6F62"/>
    <w:rsid w:val="00A06414"/>
    <w:rsid w:val="00A97439"/>
    <w:rsid w:val="00AB6E8D"/>
    <w:rsid w:val="00B9198C"/>
    <w:rsid w:val="00BA0398"/>
    <w:rsid w:val="00BE1AC3"/>
    <w:rsid w:val="00CA39B0"/>
    <w:rsid w:val="00D45737"/>
    <w:rsid w:val="00E15E27"/>
    <w:rsid w:val="00F00E0B"/>
    <w:rsid w:val="00F57708"/>
    <w:rsid w:val="00F872F4"/>
    <w:rsid w:val="07A022FC"/>
    <w:rsid w:val="2D8C68BB"/>
    <w:rsid w:val="332E0E66"/>
    <w:rsid w:val="36D82E33"/>
    <w:rsid w:val="3A1F25C0"/>
    <w:rsid w:val="3D416116"/>
    <w:rsid w:val="519D0553"/>
    <w:rsid w:val="5F7B3970"/>
    <w:rsid w:val="5F9206B7"/>
    <w:rsid w:val="68DF7F3E"/>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4"/>
    <w:qFormat/>
    <w:uiPriority w:val="9"/>
    <w:pPr>
      <w:keepNext/>
      <w:keepLines/>
      <w:jc w:val="center"/>
      <w:outlineLvl w:val="0"/>
    </w:pPr>
    <w:rPr>
      <w:rFonts w:ascii="Times New Roman" w:hAnsi="Times New Roman" w:eastAsia="黑体"/>
      <w:bCs/>
      <w:kern w:val="44"/>
      <w:sz w:val="32"/>
      <w:szCs w:val="32"/>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6"/>
    <w:qFormat/>
    <w:uiPriority w:val="99"/>
    <w:rPr>
      <w:rFonts w:hAnsi="Courier New"/>
    </w:rPr>
  </w:style>
  <w:style w:type="paragraph" w:styleId="5">
    <w:name w:val="Balloon Text"/>
    <w:basedOn w:val="1"/>
    <w:link w:val="16"/>
    <w:semiHidden/>
    <w:unhideWhenUsed/>
    <w:qFormat/>
    <w:uiPriority w:val="99"/>
    <w:rPr>
      <w:sz w:val="18"/>
      <w:szCs w:val="18"/>
    </w:rPr>
  </w:style>
  <w:style w:type="paragraph" w:styleId="6">
    <w:name w:val="footer"/>
    <w:basedOn w:val="1"/>
    <w:link w:val="25"/>
    <w:unhideWhenUsed/>
    <w:uiPriority w:val="99"/>
    <w:pPr>
      <w:tabs>
        <w:tab w:val="center" w:pos="4153"/>
        <w:tab w:val="right" w:pos="8306"/>
      </w:tabs>
      <w:snapToGrid w:val="0"/>
    </w:pPr>
    <w:rPr>
      <w:sz w:val="18"/>
      <w:szCs w:val="18"/>
    </w:rPr>
  </w:style>
  <w:style w:type="paragraph" w:styleId="7">
    <w:name w:val="header"/>
    <w:basedOn w:val="1"/>
    <w:link w:val="2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1 字符"/>
    <w:basedOn w:val="11"/>
    <w:qFormat/>
    <w:uiPriority w:val="9"/>
    <w:rPr>
      <w:rFonts w:ascii="宋体" w:hAnsi="Tms Rmn" w:eastAsia="宋体" w:cs="Times New Roman"/>
      <w:b/>
      <w:bCs/>
      <w:kern w:val="44"/>
      <w:sz w:val="44"/>
      <w:szCs w:val="44"/>
    </w:rPr>
  </w:style>
  <w:style w:type="character" w:customStyle="1" w:styleId="14">
    <w:name w:val="标题 1 字符1"/>
    <w:link w:val="2"/>
    <w:qFormat/>
    <w:uiPriority w:val="9"/>
    <w:rPr>
      <w:rFonts w:ascii="Times New Roman" w:hAnsi="Times New Roman" w:eastAsia="黑体" w:cs="Times New Roman"/>
      <w:bCs/>
      <w:kern w:val="44"/>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1"/>
    <w:link w:val="5"/>
    <w:semiHidden/>
    <w:qFormat/>
    <w:uiPriority w:val="99"/>
    <w:rPr>
      <w:rFonts w:ascii="宋体" w:hAnsi="Tms Rmn" w:eastAsia="宋体" w:cs="Times New Roman"/>
      <w:kern w:val="0"/>
      <w:sz w:val="18"/>
      <w:szCs w:val="18"/>
    </w:rPr>
  </w:style>
  <w:style w:type="character" w:customStyle="1" w:styleId="17">
    <w:name w:val="apple-converted-space"/>
    <w:basedOn w:val="11"/>
    <w:qFormat/>
    <w:uiPriority w:val="0"/>
  </w:style>
  <w:style w:type="character" w:customStyle="1" w:styleId="18">
    <w:name w:val="font21"/>
    <w:basedOn w:val="11"/>
    <w:uiPriority w:val="0"/>
    <w:rPr>
      <w:rFonts w:hint="default" w:ascii="Times New Roman" w:hAnsi="Times New Roman" w:cs="Times New Roman"/>
      <w:b/>
      <w:bCs/>
      <w:color w:val="000000"/>
      <w:sz w:val="28"/>
      <w:szCs w:val="28"/>
      <w:u w:val="none"/>
    </w:rPr>
  </w:style>
  <w:style w:type="character" w:customStyle="1" w:styleId="19">
    <w:name w:val="font31"/>
    <w:basedOn w:val="11"/>
    <w:uiPriority w:val="0"/>
    <w:rPr>
      <w:rFonts w:hint="default" w:ascii="楷体_GB2312" w:eastAsia="楷体_GB2312" w:cs="楷体_GB2312"/>
      <w:b/>
      <w:bCs/>
      <w:color w:val="000000"/>
      <w:sz w:val="28"/>
      <w:szCs w:val="28"/>
      <w:u w:val="none"/>
    </w:rPr>
  </w:style>
  <w:style w:type="character" w:customStyle="1" w:styleId="20">
    <w:name w:val="font41"/>
    <w:basedOn w:val="11"/>
    <w:uiPriority w:val="0"/>
    <w:rPr>
      <w:rFonts w:hint="default" w:ascii="Times New Roman" w:hAnsi="Times New Roman" w:cs="Times New Roman"/>
      <w:color w:val="000000"/>
      <w:sz w:val="24"/>
      <w:szCs w:val="24"/>
      <w:u w:val="none"/>
    </w:rPr>
  </w:style>
  <w:style w:type="character" w:customStyle="1" w:styleId="21">
    <w:name w:val="font01"/>
    <w:basedOn w:val="11"/>
    <w:uiPriority w:val="0"/>
    <w:rPr>
      <w:rFonts w:hint="eastAsia" w:ascii="宋体" w:hAnsi="宋体" w:eastAsia="宋体" w:cs="宋体"/>
      <w:color w:val="000000"/>
      <w:sz w:val="24"/>
      <w:szCs w:val="24"/>
      <w:u w:val="none"/>
    </w:rPr>
  </w:style>
  <w:style w:type="character" w:customStyle="1" w:styleId="22">
    <w:name w:val="font71"/>
    <w:basedOn w:val="11"/>
    <w:uiPriority w:val="0"/>
    <w:rPr>
      <w:rFonts w:hint="default" w:ascii="Times New Roman" w:hAnsi="Times New Roman" w:cs="Times New Roman"/>
      <w:b/>
      <w:bCs/>
      <w:i/>
      <w:iCs/>
      <w:color w:val="000000"/>
      <w:sz w:val="21"/>
      <w:szCs w:val="21"/>
      <w:u w:val="none"/>
    </w:rPr>
  </w:style>
  <w:style w:type="character" w:customStyle="1" w:styleId="23">
    <w:name w:val="font61"/>
    <w:basedOn w:val="11"/>
    <w:uiPriority w:val="0"/>
    <w:rPr>
      <w:rFonts w:hint="default" w:ascii="Times New Roman" w:hAnsi="Times New Roman" w:cs="Times New Roman"/>
      <w:color w:val="000000"/>
      <w:sz w:val="21"/>
      <w:szCs w:val="21"/>
      <w:u w:val="none"/>
    </w:rPr>
  </w:style>
  <w:style w:type="character" w:customStyle="1" w:styleId="24">
    <w:name w:val="页眉 字符"/>
    <w:basedOn w:val="11"/>
    <w:link w:val="7"/>
    <w:uiPriority w:val="99"/>
    <w:rPr>
      <w:rFonts w:ascii="宋体" w:hAnsi="Tms Rmn"/>
      <w:sz w:val="18"/>
      <w:szCs w:val="18"/>
    </w:rPr>
  </w:style>
  <w:style w:type="character" w:customStyle="1" w:styleId="25">
    <w:name w:val="页脚 字符"/>
    <w:basedOn w:val="11"/>
    <w:link w:val="6"/>
    <w:qFormat/>
    <w:uiPriority w:val="99"/>
    <w:rPr>
      <w:rFonts w:ascii="宋体" w:hAnsi="Tms Rmn"/>
      <w:sz w:val="18"/>
      <w:szCs w:val="18"/>
    </w:rPr>
  </w:style>
  <w:style w:type="character" w:customStyle="1" w:styleId="26">
    <w:name w:val="纯文本 字符"/>
    <w:basedOn w:val="11"/>
    <w:link w:val="4"/>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5328</Words>
  <Characters>10610</Characters>
  <Lines>89</Lines>
  <Paragraphs>25</Paragraphs>
  <TotalTime>164</TotalTime>
  <ScaleCrop>false</ScaleCrop>
  <LinksUpToDate>false</LinksUpToDate>
  <CharactersWithSpaces>11990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2023-01-12T06:46:00Z</dcterms:created>
  <dc:creator>ClairSong</dc:creator>
  <cp:lastModifiedBy>Administrator</cp:lastModifiedBy>
  <dcterms:modified xsi:type="dcterms:W3CDTF">2023-05-14T10:43:57Z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D57B446900AC43C2B0F8076E26D6211E</vt:lpwstr>
  </property>
</Properties>
</file>