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690D6" w14:textId="77777777" w:rsidR="00B4129B" w:rsidRPr="0075281B" w:rsidRDefault="00B4129B" w:rsidP="00B4129B">
      <w:pPr>
        <w:adjustRightInd w:val="0"/>
        <w:snapToGrid w:val="0"/>
        <w:jc w:val="center"/>
        <w:rPr>
          <w:rFonts w:ascii="Times New Roman" w:eastAsia="黑体" w:hAnsi="Times New Roman" w:cstheme="minorBidi"/>
          <w:sz w:val="32"/>
        </w:rPr>
      </w:pPr>
      <w:bookmarkStart w:id="0" w:name="_Hlk145620878"/>
      <w:r w:rsidRPr="0075281B">
        <w:rPr>
          <w:rFonts w:ascii="Times New Roman" w:eastAsia="黑体" w:hAnsi="Times New Roman" w:cstheme="minorBidi"/>
          <w:sz w:val="32"/>
        </w:rPr>
        <w:t>《中日跨文化交际》课程教学大纲</w:t>
      </w:r>
    </w:p>
    <w:p w14:paraId="138F4194" w14:textId="77777777" w:rsidR="00B4129B" w:rsidRPr="0075281B" w:rsidRDefault="00B4129B" w:rsidP="00B4129B">
      <w:pPr>
        <w:spacing w:beforeLines="50" w:before="156" w:afterLines="50" w:after="156" w:line="259" w:lineRule="auto"/>
        <w:ind w:firstLineChars="200" w:firstLine="562"/>
        <w:jc w:val="left"/>
        <w:rPr>
          <w:rFonts w:ascii="宋体" w:eastAsia="宋体" w:hAnsi="宋体" w:cs="宋体"/>
          <w:szCs w:val="20"/>
        </w:rPr>
      </w:pPr>
      <w:bookmarkStart w:id="1" w:name="_Hlk145596310"/>
      <w:r w:rsidRPr="0075281B"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835"/>
        <w:gridCol w:w="1276"/>
        <w:gridCol w:w="2835"/>
      </w:tblGrid>
      <w:tr w:rsidR="00B4129B" w:rsidRPr="0075281B" w14:paraId="0B38DC5B" w14:textId="77777777" w:rsidTr="00F97F3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8A74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75281B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6D1E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left"/>
              <w:rPr>
                <w:rFonts w:ascii="Times New Roman" w:eastAsia="MS Mincho" w:hAnsi="Times New Roman"/>
                <w:lang w:eastAsia="ja-JP"/>
              </w:rPr>
            </w:pPr>
            <w:r w:rsidRPr="0075281B">
              <w:rPr>
                <w:rFonts w:ascii="Times New Roman" w:hAnsi="Times New Roman"/>
                <w:szCs w:val="21"/>
              </w:rPr>
              <w:t>Chinese-Japanese Intercultural Communication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DDCF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75281B">
              <w:rPr>
                <w:rFonts w:ascii="Times New Roman" w:eastAsia="宋体" w:hAnsi="Times New Roman"/>
                <w:b/>
                <w:bCs/>
              </w:rPr>
              <w:t>课程代码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13BD" w14:textId="77777777" w:rsidR="00B4129B" w:rsidRPr="0075281B" w:rsidRDefault="00B4129B" w:rsidP="00F97F30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</w:rPr>
            </w:pPr>
            <w:r w:rsidRPr="0075281B">
              <w:rPr>
                <w:rFonts w:ascii="Times New Roman" w:eastAsia="宋体" w:hAnsi="Times New Roman"/>
                <w:szCs w:val="21"/>
              </w:rPr>
              <w:t>JAPA3005</w:t>
            </w:r>
          </w:p>
        </w:tc>
      </w:tr>
      <w:tr w:rsidR="00B4129B" w:rsidRPr="0075281B" w14:paraId="00C54E8F" w14:textId="77777777" w:rsidTr="00F97F3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465C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75281B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F859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跨</w:t>
            </w:r>
            <w:r w:rsidRPr="0075281B">
              <w:rPr>
                <w:rFonts w:ascii="Times New Roman" w:eastAsia="宋体" w:hAnsi="Times New Roman"/>
                <w:szCs w:val="21"/>
              </w:rPr>
              <w:t>专业选修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4403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75281B">
              <w:rPr>
                <w:rFonts w:ascii="Times New Roman" w:eastAsia="宋体" w:hAnsi="Times New Roman"/>
                <w:b/>
                <w:bCs/>
              </w:rPr>
              <w:t>授课对象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08CD" w14:textId="77777777" w:rsidR="00B4129B" w:rsidRPr="0075281B" w:rsidRDefault="00B4129B" w:rsidP="00F97F30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英语大类</w:t>
            </w:r>
          </w:p>
        </w:tc>
      </w:tr>
      <w:tr w:rsidR="00B4129B" w:rsidRPr="0075281B" w14:paraId="5EEDBA34" w14:textId="77777777" w:rsidTr="00F97F3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6C43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75281B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2109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left"/>
              <w:rPr>
                <w:rFonts w:ascii="Times New Roman" w:eastAsia="宋体" w:hAnsi="Times New Roman"/>
              </w:rPr>
            </w:pPr>
            <w:r w:rsidRPr="0075281B">
              <w:rPr>
                <w:rFonts w:ascii="Times New Roman" w:eastAsia="宋体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4DE5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75281B">
              <w:rPr>
                <w:rFonts w:ascii="Times New Roman" w:eastAsia="宋体" w:hAnsi="Times New Roman"/>
                <w:b/>
                <w:bCs/>
              </w:rPr>
              <w:t>学</w:t>
            </w:r>
            <w:r w:rsidRPr="0075281B">
              <w:rPr>
                <w:rFonts w:ascii="Times New Roman" w:eastAsia="宋体" w:hAnsi="Times New Roman"/>
                <w:b/>
                <w:bCs/>
              </w:rPr>
              <w:t xml:space="preserve">   </w:t>
            </w:r>
            <w:r w:rsidRPr="0075281B">
              <w:rPr>
                <w:rFonts w:ascii="Times New Roman" w:eastAsia="宋体" w:hAnsi="Times New Roman"/>
                <w:b/>
                <w:bCs/>
              </w:rPr>
              <w:t>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108D" w14:textId="77777777" w:rsidR="00B4129B" w:rsidRPr="0075281B" w:rsidRDefault="00B4129B" w:rsidP="00F97F30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</w:rPr>
            </w:pPr>
            <w:r w:rsidRPr="0075281B">
              <w:rPr>
                <w:rFonts w:ascii="Times New Roman" w:eastAsia="宋体" w:hAnsi="Times New Roman"/>
              </w:rPr>
              <w:t>36</w:t>
            </w:r>
          </w:p>
        </w:tc>
      </w:tr>
      <w:tr w:rsidR="00B4129B" w:rsidRPr="0075281B" w14:paraId="539FE4DE" w14:textId="77777777" w:rsidTr="00F97F3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395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75281B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BB09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left"/>
              <w:rPr>
                <w:rFonts w:ascii="Times New Roman" w:eastAsia="宋体" w:hAnsi="Times New Roman"/>
              </w:rPr>
            </w:pPr>
            <w:r w:rsidRPr="0075281B">
              <w:rPr>
                <w:rFonts w:ascii="Times New Roman" w:eastAsia="宋体" w:hAnsi="Times New Roman"/>
              </w:rPr>
              <w:t>施晖</w:t>
            </w:r>
            <w:r w:rsidRPr="0075281B">
              <w:rPr>
                <w:rFonts w:ascii="Times New Roman" w:eastAsia="宋体" w:hAnsi="Times New Roman" w:hint="eastAsia"/>
              </w:rPr>
              <w:t>、</w:t>
            </w:r>
            <w:r w:rsidRPr="0075281B">
              <w:rPr>
                <w:rFonts w:ascii="Times New Roman" w:eastAsia="宋体" w:hAnsi="Times New Roman"/>
              </w:rPr>
              <w:t>宗聪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354B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75281B">
              <w:rPr>
                <w:rFonts w:ascii="Times New Roman" w:eastAsia="宋体" w:hAnsi="Times New Roman"/>
                <w:b/>
                <w:bCs/>
              </w:rPr>
              <w:t>修订日期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3CBC" w14:textId="77777777" w:rsidR="00B4129B" w:rsidRPr="0075281B" w:rsidRDefault="00B4129B" w:rsidP="00F97F30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  <w:lang w:eastAsia="ja-JP"/>
              </w:rPr>
            </w:pPr>
            <w:r w:rsidRPr="0075281B">
              <w:rPr>
                <w:rFonts w:ascii="Times New Roman" w:eastAsia="宋体" w:hAnsi="Times New Roman"/>
              </w:rPr>
              <w:t>2023</w:t>
            </w:r>
            <w:r w:rsidRPr="0075281B">
              <w:rPr>
                <w:rFonts w:ascii="Times New Roman" w:eastAsia="宋体" w:hAnsi="Times New Roman" w:hint="eastAsia"/>
              </w:rPr>
              <w:t>.</w:t>
            </w:r>
            <w:r w:rsidRPr="0075281B">
              <w:rPr>
                <w:rFonts w:ascii="Times New Roman" w:eastAsia="宋体" w:hAnsi="Times New Roman"/>
                <w:lang w:eastAsia="ja-JP"/>
              </w:rPr>
              <w:t>9</w:t>
            </w:r>
          </w:p>
        </w:tc>
      </w:tr>
      <w:tr w:rsidR="00B4129B" w:rsidRPr="0075281B" w14:paraId="4A4D4485" w14:textId="77777777" w:rsidTr="00F97F30">
        <w:trPr>
          <w:jc w:val="center"/>
        </w:trPr>
        <w:tc>
          <w:tcPr>
            <w:tcW w:w="1271" w:type="dxa"/>
            <w:vAlign w:val="center"/>
          </w:tcPr>
          <w:p w14:paraId="381BFA0E" w14:textId="77777777" w:rsidR="00B4129B" w:rsidRPr="0075281B" w:rsidRDefault="00B4129B" w:rsidP="00F97F30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75281B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6946" w:type="dxa"/>
            <w:gridSpan w:val="3"/>
            <w:vAlign w:val="center"/>
          </w:tcPr>
          <w:p w14:paraId="2454CA06" w14:textId="77777777" w:rsidR="00B4129B" w:rsidRPr="0075281B" w:rsidRDefault="00B4129B" w:rsidP="00F97F30">
            <w:pPr>
              <w:spacing w:beforeLines="50" w:before="156" w:afterLines="50" w:after="156" w:line="259" w:lineRule="auto"/>
              <w:rPr>
                <w:rFonts w:ascii="宋体" w:eastAsia="宋体" w:hAnsi="宋体"/>
                <w:szCs w:val="21"/>
              </w:rPr>
            </w:pPr>
            <w:r w:rsidRPr="0075281B">
              <w:rPr>
                <w:rFonts w:ascii="宋体" w:eastAsia="宋体" w:hAnsi="宋体" w:hint="eastAsia"/>
                <w:szCs w:val="21"/>
              </w:rPr>
              <w:t>施晖，栾竹民编著，《日本语言文化》，</w:t>
            </w:r>
          </w:p>
          <w:p w14:paraId="63D700F9" w14:textId="77777777" w:rsidR="00B4129B" w:rsidRPr="0075281B" w:rsidRDefault="00B4129B" w:rsidP="00F97F30">
            <w:pPr>
              <w:spacing w:beforeLines="50" w:before="156" w:afterLines="50" w:after="156" w:line="259" w:lineRule="auto"/>
              <w:rPr>
                <w:rFonts w:ascii="宋体" w:eastAsia="宋体" w:hAnsi="宋体"/>
                <w:szCs w:val="21"/>
              </w:rPr>
            </w:pPr>
            <w:r w:rsidRPr="0075281B">
              <w:rPr>
                <w:rFonts w:ascii="宋体" w:eastAsia="宋体" w:hAnsi="宋体" w:hint="eastAsia"/>
                <w:szCs w:val="21"/>
              </w:rPr>
              <w:t>苏州大学出版社，</w:t>
            </w:r>
            <w:r w:rsidRPr="0075281B">
              <w:rPr>
                <w:rFonts w:ascii="Times New Roman" w:eastAsia="宋体" w:hAnsi="Times New Roman"/>
                <w:szCs w:val="21"/>
              </w:rPr>
              <w:t>2013</w:t>
            </w:r>
            <w:r w:rsidRPr="0075281B">
              <w:rPr>
                <w:rFonts w:ascii="Times New Roman" w:eastAsia="宋体" w:hAnsi="Times New Roman"/>
                <w:szCs w:val="21"/>
              </w:rPr>
              <w:t>年</w:t>
            </w:r>
          </w:p>
        </w:tc>
      </w:tr>
    </w:tbl>
    <w:p w14:paraId="114A8A05" w14:textId="77777777" w:rsidR="00B4129B" w:rsidRPr="0075281B" w:rsidRDefault="00B4129B" w:rsidP="00B4129B">
      <w:pPr>
        <w:adjustRightInd w:val="0"/>
        <w:snapToGrid w:val="0"/>
        <w:ind w:firstLineChars="200" w:firstLine="420"/>
        <w:rPr>
          <w:rFonts w:ascii="宋体" w:eastAsia="宋体" w:hAnsi="宋体"/>
          <w:szCs w:val="21"/>
        </w:rPr>
      </w:pPr>
      <w:bookmarkStart w:id="2" w:name="_Hlk145620839"/>
    </w:p>
    <w:p w14:paraId="739DA446" w14:textId="77777777" w:rsidR="00B4129B" w:rsidRPr="0075281B" w:rsidRDefault="00B4129B" w:rsidP="00B4129B">
      <w:pPr>
        <w:spacing w:beforeLines="50" w:before="156" w:afterLines="50" w:after="156" w:line="259" w:lineRule="auto"/>
        <w:ind w:firstLineChars="100" w:firstLine="281"/>
        <w:rPr>
          <w:rFonts w:ascii="宋体" w:eastAsia="MS Mincho" w:hAnsi="宋体" w:cs="宋体"/>
          <w:szCs w:val="20"/>
        </w:rPr>
      </w:pPr>
      <w:r w:rsidRPr="0075281B">
        <w:rPr>
          <w:rFonts w:ascii="黑体" w:eastAsia="黑体" w:hAnsi="黑体" w:cs="宋体" w:hint="eastAsia"/>
          <w:b/>
          <w:sz w:val="28"/>
          <w:szCs w:val="28"/>
        </w:rPr>
        <w:t>二、课程目标</w:t>
      </w:r>
      <w:bookmarkEnd w:id="2"/>
    </w:p>
    <w:bookmarkEnd w:id="0"/>
    <w:bookmarkEnd w:id="1"/>
    <w:p w14:paraId="043B70E1" w14:textId="77777777" w:rsidR="00CF3B41" w:rsidRPr="00CF3B41" w:rsidRDefault="00E513C3" w:rsidP="00CF3B41">
      <w:pPr>
        <w:adjustRightInd w:val="0"/>
        <w:snapToGrid w:val="0"/>
        <w:ind w:firstLineChars="200" w:firstLine="482"/>
        <w:rPr>
          <w:rFonts w:ascii="宋体" w:eastAsia="宋体" w:hAnsi="宋体" w:cs="Segoe UI"/>
          <w:b/>
          <w:bCs/>
          <w:color w:val="404040"/>
          <w:sz w:val="24"/>
          <w:szCs w:val="24"/>
        </w:rPr>
      </w:pPr>
      <w:r w:rsidRPr="00CF3B41">
        <w:rPr>
          <w:rFonts w:ascii="宋体" w:eastAsia="宋体" w:hAnsi="宋体" w:cs="Segoe UI"/>
          <w:b/>
          <w:bCs/>
          <w:color w:val="404040"/>
          <w:sz w:val="24"/>
          <w:szCs w:val="24"/>
        </w:rPr>
        <w:t>（一）总体目标：</w:t>
      </w:r>
    </w:p>
    <w:p w14:paraId="3AF69C24" w14:textId="45485D98" w:rsidR="009426C1" w:rsidRPr="00B4129B" w:rsidRDefault="00E513C3" w:rsidP="00B4129B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Segoe UI"/>
          <w:color w:val="404040"/>
        </w:rPr>
      </w:pPr>
      <w:r w:rsidRPr="00B4129B">
        <w:rPr>
          <w:rFonts w:ascii="宋体" w:eastAsia="宋体" w:hAnsi="宋体" w:cs="Segoe UI"/>
          <w:color w:val="404040"/>
        </w:rPr>
        <w:t>本课程立足"一带一路"倡议与人类命运共同体建设背景，以培养具有国际视野、家国情怀和跨文化胜任力的复合型日语人才为导向。通过语言学、文学、历史学等多学科交叉融合的教学模式，系统构建中日文化比较认知体系，重点提升学生的语言实践能力、跨文化思辨能力和学术创新能力。课程坚持"价值引领、能力导向、知行合一"的教育理念，实现专业知识传授与思政育人的有机统一，助力学生在中日跨文化交际中做到语言准确性与文化得体性相统一。</w:t>
      </w:r>
    </w:p>
    <w:p w14:paraId="04C856DF" w14:textId="77777777" w:rsidR="00CF3B41" w:rsidRPr="00B4129B" w:rsidRDefault="00E513C3" w:rsidP="00E513C3">
      <w:pPr>
        <w:pStyle w:val="af"/>
        <w:ind w:firstLineChars="200" w:firstLine="482"/>
        <w:rPr>
          <w:rFonts w:ascii="Segoe UI" w:hAnsi="Segoe UI" w:cs="Segoe UI"/>
          <w:b/>
          <w:bCs/>
          <w:color w:val="404040"/>
        </w:rPr>
      </w:pPr>
      <w:r w:rsidRPr="00B4129B">
        <w:rPr>
          <w:rFonts w:ascii="Segoe UI" w:hAnsi="Segoe UI" w:cs="Segoe UI"/>
          <w:b/>
          <w:bCs/>
          <w:color w:val="404040"/>
        </w:rPr>
        <w:t>（二）课程目标：</w:t>
      </w:r>
    </w:p>
    <w:p w14:paraId="2A020454" w14:textId="77777777" w:rsidR="00CF3B41" w:rsidRDefault="00E513C3" w:rsidP="00E513C3">
      <w:pPr>
        <w:pStyle w:val="af"/>
        <w:ind w:firstLineChars="200" w:firstLine="482"/>
        <w:rPr>
          <w:rFonts w:ascii="Segoe UI" w:hAnsi="Segoe UI" w:cs="Segoe UI"/>
          <w:b/>
          <w:bCs/>
          <w:color w:val="404040"/>
        </w:rPr>
      </w:pPr>
      <w:r>
        <w:rPr>
          <w:rStyle w:val="af0"/>
          <w:rFonts w:ascii="Segoe UI" w:hAnsi="Segoe UI" w:cs="Segoe UI"/>
          <w:color w:val="404040"/>
        </w:rPr>
        <w:t>课程目标</w:t>
      </w:r>
      <w:r w:rsidRPr="00CF3B41">
        <w:rPr>
          <w:rStyle w:val="af0"/>
          <w:rFonts w:ascii="Segoe UI" w:hAnsi="Segoe UI" w:cs="Segoe UI"/>
          <w:b w:val="0"/>
          <w:bCs w:val="0"/>
          <w:color w:val="404040"/>
        </w:rPr>
        <w:t>1</w:t>
      </w:r>
      <w:r w:rsidRPr="00CF3B41">
        <w:rPr>
          <w:rStyle w:val="af0"/>
          <w:rFonts w:ascii="Segoe UI" w:hAnsi="Segoe UI" w:cs="Segoe UI"/>
          <w:b w:val="0"/>
          <w:bCs w:val="0"/>
          <w:color w:val="404040"/>
        </w:rPr>
        <w:t>：构建中日文化差异认知体系</w:t>
      </w:r>
    </w:p>
    <w:p w14:paraId="716E74C9" w14:textId="77777777" w:rsidR="00CF3B41" w:rsidRDefault="00E513C3" w:rsidP="00CF3B41">
      <w:pPr>
        <w:pStyle w:val="af"/>
        <w:ind w:leftChars="200" w:left="4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1.1 </w:t>
      </w:r>
      <w:r>
        <w:rPr>
          <w:rFonts w:ascii="Segoe UI" w:hAnsi="Segoe UI" w:cs="Segoe UI"/>
          <w:color w:val="404040"/>
        </w:rPr>
        <w:t>掌握中日性向词汇（面子观</w:t>
      </w:r>
      <w:r w:rsidR="00CF3B41">
        <w:rPr>
          <w:rFonts w:ascii="Segoe UI" w:hAnsi="Segoe UI" w:cs="Segoe UI" w:hint="eastAsia"/>
          <w:color w:val="404040"/>
        </w:rPr>
        <w:t>、</w:t>
      </w:r>
      <w:r>
        <w:rPr>
          <w:rFonts w:ascii="Segoe UI" w:hAnsi="Segoe UI" w:cs="Segoe UI"/>
          <w:color w:val="404040"/>
        </w:rPr>
        <w:t>劳动观</w:t>
      </w:r>
      <w:r w:rsidR="00CF3B41">
        <w:rPr>
          <w:rFonts w:ascii="Segoe UI" w:hAnsi="Segoe UI" w:cs="Segoe UI" w:hint="eastAsia"/>
          <w:color w:val="404040"/>
        </w:rPr>
        <w:t>、</w:t>
      </w:r>
      <w:r>
        <w:rPr>
          <w:rFonts w:ascii="Segoe UI" w:hAnsi="Segoe UI" w:cs="Segoe UI"/>
          <w:color w:val="404040"/>
        </w:rPr>
        <w:t>人情观</w:t>
      </w:r>
      <w:r w:rsidR="00CF3B41">
        <w:rPr>
          <w:rFonts w:ascii="Segoe UI" w:hAnsi="Segoe UI" w:cs="Segoe UI" w:hint="eastAsia"/>
          <w:color w:val="404040"/>
        </w:rPr>
        <w:t>等</w:t>
      </w:r>
      <w:r>
        <w:rPr>
          <w:rFonts w:ascii="Segoe UI" w:hAnsi="Segoe UI" w:cs="Segoe UI"/>
          <w:color w:val="404040"/>
        </w:rPr>
        <w:t>）的核心差异</w:t>
      </w:r>
    </w:p>
    <w:p w14:paraId="4418B62B" w14:textId="4BAC00B2" w:rsidR="00CF3B41" w:rsidRDefault="00E513C3" w:rsidP="00CF3B41">
      <w:pPr>
        <w:pStyle w:val="af"/>
        <w:ind w:leftChars="200" w:left="4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1.2 </w:t>
      </w:r>
      <w:r>
        <w:rPr>
          <w:rFonts w:ascii="Segoe UI" w:hAnsi="Segoe UI" w:cs="Segoe UI"/>
          <w:color w:val="404040"/>
        </w:rPr>
        <w:t>运用语料库开展中日语言现象对比分析</w:t>
      </w:r>
    </w:p>
    <w:p w14:paraId="4EA56975" w14:textId="07D6521C" w:rsidR="00E513C3" w:rsidRDefault="00E513C3" w:rsidP="00CF3B41">
      <w:pPr>
        <w:pStyle w:val="af"/>
        <w:ind w:leftChars="200" w:left="4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1.3 </w:t>
      </w:r>
      <w:r>
        <w:rPr>
          <w:rFonts w:ascii="Segoe UI" w:hAnsi="Segoe UI" w:cs="Segoe UI"/>
          <w:color w:val="404040"/>
        </w:rPr>
        <w:t>阐释日本地方志与中国地方文化书写的异同特征</w:t>
      </w:r>
    </w:p>
    <w:p w14:paraId="303BAED8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Style w:val="af0"/>
          <w:rFonts w:ascii="Segoe UI" w:hAnsi="Segoe UI" w:cs="Segoe UI"/>
          <w:color w:val="404040"/>
        </w:rPr>
        <w:lastRenderedPageBreak/>
        <w:t>课程目标</w:t>
      </w:r>
      <w:r>
        <w:rPr>
          <w:rStyle w:val="af0"/>
          <w:rFonts w:ascii="Segoe UI" w:hAnsi="Segoe UI" w:cs="Segoe UI"/>
          <w:color w:val="404040"/>
        </w:rPr>
        <w:t>2</w:t>
      </w:r>
      <w:r>
        <w:rPr>
          <w:rStyle w:val="af0"/>
          <w:rFonts w:ascii="Segoe UI" w:hAnsi="Segoe UI" w:cs="Segoe UI"/>
          <w:color w:val="404040"/>
        </w:rPr>
        <w:t>：发展跨文化研究与学术创新能力</w:t>
      </w:r>
    </w:p>
    <w:p w14:paraId="7AEFAAA9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2.1 </w:t>
      </w:r>
      <w:r>
        <w:rPr>
          <w:rFonts w:ascii="Segoe UI" w:hAnsi="Segoe UI" w:cs="Segoe UI"/>
          <w:color w:val="404040"/>
        </w:rPr>
        <w:t>设计中日文艺批评史比较研究方案</w:t>
      </w:r>
    </w:p>
    <w:p w14:paraId="6E81D481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2.2 </w:t>
      </w:r>
      <w:r>
        <w:rPr>
          <w:rFonts w:ascii="Segoe UI" w:hAnsi="Segoe UI" w:cs="Segoe UI"/>
          <w:color w:val="404040"/>
        </w:rPr>
        <w:t>运用统计学方法处理跨文化冲突案例</w:t>
      </w:r>
    </w:p>
    <w:p w14:paraId="3ACB9B20" w14:textId="76F34A99" w:rsidR="00E513C3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2.3 </w:t>
      </w:r>
      <w:r>
        <w:rPr>
          <w:rFonts w:ascii="Segoe UI" w:hAnsi="Segoe UI" w:cs="Segoe UI"/>
          <w:color w:val="404040"/>
        </w:rPr>
        <w:t>完成符合学术规范的跨文化主题研究报告</w:t>
      </w:r>
    </w:p>
    <w:p w14:paraId="440DC2F4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Style w:val="af0"/>
          <w:rFonts w:ascii="Segoe UI" w:hAnsi="Segoe UI" w:cs="Segoe UI"/>
          <w:color w:val="404040"/>
        </w:rPr>
        <w:t>课程目标</w:t>
      </w:r>
      <w:r>
        <w:rPr>
          <w:rStyle w:val="af0"/>
          <w:rFonts w:ascii="Segoe UI" w:hAnsi="Segoe UI" w:cs="Segoe UI"/>
          <w:color w:val="404040"/>
        </w:rPr>
        <w:t>3</w:t>
      </w:r>
      <w:r>
        <w:rPr>
          <w:rStyle w:val="af0"/>
          <w:rFonts w:ascii="Segoe UI" w:hAnsi="Segoe UI" w:cs="Segoe UI"/>
          <w:color w:val="404040"/>
        </w:rPr>
        <w:t>：践行文化自觉与责任担当</w:t>
      </w:r>
    </w:p>
    <w:p w14:paraId="704949C9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3.1 </w:t>
      </w:r>
      <w:r>
        <w:rPr>
          <w:rFonts w:ascii="Segoe UI" w:hAnsi="Segoe UI" w:cs="Segoe UI"/>
          <w:color w:val="404040"/>
        </w:rPr>
        <w:t>在中日劳动伦理比较中强化职业使命感</w:t>
      </w:r>
    </w:p>
    <w:p w14:paraId="0B29AC09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3.2 </w:t>
      </w:r>
      <w:r>
        <w:rPr>
          <w:rFonts w:ascii="Segoe UI" w:hAnsi="Segoe UI" w:cs="Segoe UI"/>
          <w:color w:val="404040"/>
        </w:rPr>
        <w:t>通过</w:t>
      </w:r>
      <w:r>
        <w:rPr>
          <w:rFonts w:ascii="Segoe UI" w:hAnsi="Segoe UI" w:cs="Segoe UI"/>
          <w:color w:val="404040"/>
        </w:rPr>
        <w:t>"</w:t>
      </w:r>
      <w:r>
        <w:rPr>
          <w:rFonts w:ascii="Segoe UI" w:hAnsi="Segoe UI" w:cs="Segoe UI"/>
          <w:color w:val="404040"/>
        </w:rPr>
        <w:t>一带一路</w:t>
      </w:r>
      <w:r>
        <w:rPr>
          <w:rFonts w:ascii="Segoe UI" w:hAnsi="Segoe UI" w:cs="Segoe UI"/>
          <w:color w:val="404040"/>
        </w:rPr>
        <w:t>"</w:t>
      </w:r>
      <w:r>
        <w:rPr>
          <w:rFonts w:ascii="Segoe UI" w:hAnsi="Segoe UI" w:cs="Segoe UI"/>
          <w:color w:val="404040"/>
        </w:rPr>
        <w:t>合作案例培育国际视野</w:t>
      </w:r>
    </w:p>
    <w:p w14:paraId="4EF350B5" w14:textId="18F1B140" w:rsidR="00E513C3" w:rsidRPr="00E513C3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3.3 </w:t>
      </w:r>
      <w:r>
        <w:rPr>
          <w:rFonts w:ascii="Segoe UI" w:hAnsi="Segoe UI" w:cs="Segoe UI"/>
          <w:color w:val="404040"/>
        </w:rPr>
        <w:t>在文化差异分析中坚守中华文化立场</w:t>
      </w:r>
    </w:p>
    <w:p w14:paraId="63BD6E7A" w14:textId="77777777" w:rsidR="009426C1" w:rsidRDefault="009426C1" w:rsidP="009426C1">
      <w:pPr>
        <w:adjustRightInd w:val="0"/>
        <w:snapToGrid w:val="0"/>
        <w:rPr>
          <w:rFonts w:ascii="Times New Roman" w:eastAsia="宋体" w:hAnsi="Times New Roman"/>
        </w:rPr>
      </w:pPr>
    </w:p>
    <w:p w14:paraId="1AC0D404" w14:textId="77777777" w:rsidR="001106F0" w:rsidRPr="00CF3B41" w:rsidRDefault="001106F0" w:rsidP="001106F0">
      <w:pPr>
        <w:pStyle w:val="ad"/>
        <w:spacing w:beforeLines="50" w:before="156" w:afterLines="50" w:after="156"/>
        <w:ind w:firstLineChars="200" w:firstLine="562"/>
        <w:rPr>
          <w:rFonts w:ascii="Times New Roman" w:hAnsi="Times New Roman" w:cs="宋体"/>
          <w:b/>
          <w:bCs/>
          <w:sz w:val="28"/>
          <w:szCs w:val="28"/>
        </w:rPr>
      </w:pPr>
      <w:r w:rsidRPr="00CF3B41">
        <w:rPr>
          <w:rFonts w:ascii="Times New Roman" w:hAnsi="Times New Roman" w:cs="宋体" w:hint="eastAsia"/>
          <w:b/>
          <w:bCs/>
          <w:sz w:val="28"/>
          <w:szCs w:val="28"/>
        </w:rPr>
        <w:t>（三）课程目标与毕业要求、课程内容的对应关系</w:t>
      </w:r>
    </w:p>
    <w:p w14:paraId="431E6FC2" w14:textId="04380D39" w:rsidR="00F867AF" w:rsidRDefault="001106F0" w:rsidP="001106F0">
      <w:pPr>
        <w:jc w:val="center"/>
        <w:rPr>
          <w:rFonts w:ascii="Times New Roman" w:hAnsi="Times New Roman"/>
          <w:b/>
          <w:bCs/>
          <w:szCs w:val="21"/>
        </w:rPr>
      </w:pPr>
      <w:r w:rsidRPr="00F555A4">
        <w:rPr>
          <w:rFonts w:ascii="Times New Roman" w:hAnsi="Times New Roman" w:hint="eastAsia"/>
          <w:b/>
          <w:bCs/>
          <w:szCs w:val="21"/>
        </w:rPr>
        <w:t>表</w:t>
      </w:r>
      <w:r w:rsidRPr="00F555A4">
        <w:rPr>
          <w:rFonts w:ascii="Times New Roman" w:hAnsi="Times New Roman" w:hint="eastAsia"/>
          <w:b/>
          <w:bCs/>
          <w:szCs w:val="21"/>
        </w:rPr>
        <w:t>1</w:t>
      </w:r>
      <w:r w:rsidRPr="00F555A4">
        <w:rPr>
          <w:rFonts w:ascii="Times New Roman" w:hAnsi="Times New Roman" w:hint="eastAsia"/>
          <w:b/>
          <w:bCs/>
          <w:szCs w:val="21"/>
        </w:rPr>
        <w:t>：课程目标与课程内容、毕业要求的对应关系表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906"/>
        <w:gridCol w:w="2375"/>
        <w:gridCol w:w="4102"/>
      </w:tblGrid>
      <w:tr w:rsidR="001106F0" w:rsidRPr="001106F0" w14:paraId="2C38A792" w14:textId="77777777" w:rsidTr="001106F0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DC991F9" w14:textId="77777777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课程目标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8F1D426" w14:textId="03AF4F56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子目标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006495B8" w14:textId="77777777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对应课程内容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2DD05424" w14:textId="77777777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对应毕业要求</w:t>
            </w:r>
          </w:p>
        </w:tc>
      </w:tr>
      <w:tr w:rsidR="001106F0" w:rsidRPr="001106F0" w14:paraId="629B1E8F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8160A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2650377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842B330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「ポライトネス」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と敬語、</w:t>
            </w: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「恥」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の文化、</w:t>
            </w: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「察し」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の文化等中日跨文化交际的核心概念与理论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1E112CC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学科素养：了解日本人、日本文化的特点，以及中国跨文化交际的特点，培养具有扎实的跨文化交际理论知识和良好的实践能力。</w:t>
            </w:r>
          </w:p>
        </w:tc>
      </w:tr>
      <w:tr w:rsidR="001106F0" w:rsidRPr="001106F0" w14:paraId="20BC99A2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3F036ED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782046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87B1923" w14:textId="79885359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「タテ」社会、世間体、「縮</w:t>
            </w: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lastRenderedPageBreak/>
              <w:t>み」の文化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等</w:t>
            </w:r>
            <w:r w:rsidR="00CF3B41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  <w:lang w:eastAsia="ja-JP"/>
              </w:rPr>
              <w:t>，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中日社会文化的对比分析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5802949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学科目标：掌握一定的外国语言知识（日语）、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外国文学知识、区域与国别知识（日本），熟悉中国语言文化知识，了解相关专业知识以及人文社会科学与自然科学基础知识，形成跨学科知识结构，体现专业特色。</w:t>
            </w:r>
          </w:p>
        </w:tc>
      </w:tr>
      <w:tr w:rsidR="001106F0" w:rsidRPr="001106F0" w14:paraId="33C87C5A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E5E9398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D5133D2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F3DADAB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中日跨文化交际的实际案例分析与应对策略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3C63AA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学科素养：能够将中日跨文化交际的理论知识应用于实际情境中，解决跨文化交际中的实际问题，培养具有扎实的跨文化交际实践能力和良好的问题解决能力。</w:t>
            </w:r>
          </w:p>
        </w:tc>
      </w:tr>
      <w:tr w:rsidR="001106F0" w:rsidRPr="001106F0" w14:paraId="416DC1E5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D574B75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8F69B47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7AFA91D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中日跨文化交际中的文化差异与相互理解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8F7B1D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教育情怀：充分了解中日文化特色与差异，富有家国情怀，积极参与国际文化与国际学术交流活动，能有效地运用国际话语为中日文化交流发声。</w:t>
            </w:r>
          </w:p>
        </w:tc>
      </w:tr>
      <w:tr w:rsidR="001106F0" w:rsidRPr="001106F0" w14:paraId="337BC738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AB44AA8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A0C80D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0277D5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中日跨文化交际中的教学反思与批判性思维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5FFDADB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学会反思：在中日跨文化交际的教学中，初步掌握教学反思的方法，具有一定创新意识，能够运用批判性思维进行自我反思，不断完善教学方法和策略。</w:t>
            </w:r>
          </w:p>
        </w:tc>
      </w:tr>
      <w:tr w:rsidR="001106F0" w:rsidRPr="001106F0" w14:paraId="28B57821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E968A02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0394052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F658294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中日跨文化交际中的外语运用与文学赏析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4F13C0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2 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教育情怀：通过中日跨文化交际的学习，充分了解中日语言文化与文学特色，富有家国情怀，积极参与国际文化与国际学术交流活动。</w:t>
            </w:r>
          </w:p>
        </w:tc>
      </w:tr>
      <w:tr w:rsidR="001106F0" w:rsidRPr="001106F0" w14:paraId="18CA0202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4CE597C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B4BDF8A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8CB5D6A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中日跨文化交际中的跨文化交流能力、思辨能力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等综合能力的培养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CB92C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2 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能力要求：通过中日跨文化交际的学习，学生应具备初步的外语运用能力（日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语）、文学赏析能力、跨文化交流能力、思辨能力，以及一定的研究能力、创新能力、信息技术应用能力、自主学习能力和实践能力。</w:t>
            </w:r>
          </w:p>
        </w:tc>
      </w:tr>
    </w:tbl>
    <w:p w14:paraId="755FF382" w14:textId="77777777" w:rsidR="001106F0" w:rsidRPr="001106F0" w:rsidRDefault="001106F0" w:rsidP="001106F0">
      <w:pPr>
        <w:rPr>
          <w:rFonts w:ascii="Times New Roman" w:eastAsia="宋体" w:hAnsi="Times New Roman"/>
        </w:rPr>
      </w:pPr>
    </w:p>
    <w:p w14:paraId="4C160017" w14:textId="043367B6" w:rsidR="002B3784" w:rsidRPr="004973D2" w:rsidRDefault="002B3784" w:rsidP="002B3784">
      <w:pPr>
        <w:pStyle w:val="ad"/>
        <w:spacing w:beforeLines="50" w:before="156" w:afterLines="50" w:after="156" w:line="259" w:lineRule="auto"/>
        <w:ind w:firstLineChars="200" w:firstLine="562"/>
        <w:rPr>
          <w:rFonts w:eastAsia="MS Mincho"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三</w:t>
      </w:r>
      <w:r w:rsidRPr="002B3784">
        <w:rPr>
          <w:rFonts w:ascii="黑体" w:eastAsia="黑体" w:hAnsi="黑体" w:cs="宋体"/>
          <w:b/>
          <w:sz w:val="28"/>
          <w:szCs w:val="28"/>
        </w:rPr>
        <w:t>、课程教学内容及学时分配</w:t>
      </w:r>
    </w:p>
    <w:p w14:paraId="2A54C683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CF3B41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第一课</w:t>
      </w:r>
      <w:r w:rsidRPr="00CF3B41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 xml:space="preserve"> </w:t>
      </w:r>
      <w:r w:rsidRPr="00CF3B41">
        <w:rPr>
          <w:rFonts w:ascii="MS Mincho" w:eastAsia="MS Mincho" w:hAnsi="MS Mincho" w:cs="Arial"/>
          <w:b/>
          <w:bCs/>
          <w:color w:val="333333"/>
          <w:kern w:val="0"/>
          <w:sz w:val="24"/>
          <w:szCs w:val="24"/>
          <w:lang w:eastAsia="ja-JP"/>
        </w:rPr>
        <w:t>「ポライトネス」と敬語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24F9D5A5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）理解日本礼貌理论（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ポライトネス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）的核心概念及其社会功能（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）掌握敬语的分类（尊敬語</w:t>
      </w:r>
      <w:r w:rsidRPr="00484D96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  <w:lang w:eastAsia="ja-JP"/>
        </w:rPr>
        <w:t>・</w:t>
      </w:r>
      <w:r w:rsidRPr="00484D96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ja-JP"/>
        </w:rPr>
        <w:t>謙譲語</w:t>
      </w:r>
      <w:r w:rsidRPr="00484D96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  <w:lang w:eastAsia="ja-JP"/>
        </w:rPr>
        <w:t>・</w:t>
      </w:r>
      <w:r w:rsidRPr="00484D96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ja-JP"/>
        </w:rPr>
        <w:t>丁寧語）及使用场景</w:t>
      </w:r>
    </w:p>
    <w:p w14:paraId="115056B3" w14:textId="6EC8B5F8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）能够通过案例分析敬语在人际交往中的文化意义</w:t>
      </w:r>
    </w:p>
    <w:p w14:paraId="71EC7D43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）敬语与日本社会等级制度（タテ社会）的关联</w:t>
      </w:r>
    </w:p>
    <w:p w14:paraId="328DA59B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）礼貌策略中的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积极面子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与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消极面子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差异</w:t>
      </w:r>
    </w:p>
    <w:p w14:paraId="521AD2F7" w14:textId="2D01A116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）现代社会中敬语简化的趋势与矛盾</w:t>
      </w:r>
    </w:p>
    <w:p w14:paraId="26CA5C95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4B15709B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ポライトネス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理论的基本框架</w:t>
      </w:r>
    </w:p>
    <w:p w14:paraId="4FF0D104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）敬语体系的历史演变与社会功能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）职场、家庭、公共场合的敬语使用对比</w:t>
      </w:r>
    </w:p>
    <w:p w14:paraId="3A59DF33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）跨文化视角下的中日礼貌表达差异</w:t>
      </w:r>
    </w:p>
    <w:p w14:paraId="0B768CB5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）影视作品中的敬语误用案例分析</w:t>
      </w:r>
    </w:p>
    <w:p w14:paraId="6A1C2193" w14:textId="057F9B54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）数字化交流对传统敬语体系的冲击</w:t>
      </w:r>
    </w:p>
    <w:p w14:paraId="38E690D8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440E80E" w14:textId="4C408BE4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情景模拟、影视片段分析、辩论赛（如</w:t>
      </w:r>
      <w:r w:rsidR="00CF3B41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敬语是否应简化</w:t>
      </w:r>
      <w:r w:rsidR="00CF3B41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等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14:paraId="68CA122C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9135141" w14:textId="03AEED16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敬语应用场景测试、角色扮演表现评分、期末研究小论文</w:t>
      </w:r>
    </w:p>
    <w:p w14:paraId="5521013B" w14:textId="77777777" w:rsidR="00484D96" w:rsidRPr="00484D96" w:rsidRDefault="00F763E6" w:rsidP="00484D96">
      <w:pPr>
        <w:widowControl/>
        <w:spacing w:before="180" w:after="1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lastRenderedPageBreak/>
        <w:pict w14:anchorId="7D0E580C">
          <v:rect id="_x0000_i1025" style="width:4.3pt;height:.75pt" o:hrpct="0" o:hrstd="t" o:hrnoshade="t" o:hr="t" fillcolor="#333" stroked="f"/>
        </w:pict>
      </w:r>
    </w:p>
    <w:p w14:paraId="6E390D5F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第二课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CF3B41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「恥」の文化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2*4=8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2AA80BB6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1BE2F8CC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）理解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耻感文化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对日本社会行为规范的影响</w:t>
      </w:r>
    </w:p>
    <w:p w14:paraId="25BF677D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）对比中日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耻感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与西方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罪感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文化差异</w:t>
      </w:r>
    </w:p>
    <w:p w14:paraId="1DC2E6A8" w14:textId="6399FE58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）分析现代日本耻感文化的变迁与冲突</w:t>
      </w:r>
    </w:p>
    <w:p w14:paraId="171382B8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24823445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）集体主义下的耻意识形成机制</w:t>
      </w:r>
    </w:p>
    <w:p w14:paraId="45A704DF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）网络匿名化对传统耻文化的冲击</w:t>
      </w:r>
    </w:p>
    <w:p w14:paraId="5917794C" w14:textId="79582597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）耻感与校园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职场霸凌的关联性</w:t>
      </w:r>
    </w:p>
    <w:p w14:paraId="78B89418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37BD236F" w14:textId="167762BA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）本尼迪克特《菊与刀》中的</w:t>
      </w:r>
      <w:r w:rsidR="00CF3B41">
        <w:rPr>
          <w:rFonts w:ascii="Arial" w:eastAsia="宋体" w:hAnsi="Arial" w:cs="Arial" w:hint="eastAsia"/>
          <w:color w:val="333333"/>
          <w:kern w:val="0"/>
          <w:sz w:val="24"/>
          <w:szCs w:val="24"/>
        </w:rPr>
        <w:t xml:space="preserve">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耻文化理论</w:t>
      </w:r>
    </w:p>
    <w:p w14:paraId="7D90601F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）耻感在家庭教育中的体现（如「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人様に笑われる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」）</w:t>
      </w:r>
    </w:p>
    <w:p w14:paraId="74953046" w14:textId="4B339F69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CF3B41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）耻感弱化现象：从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村八分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到网络炎上</w:t>
      </w:r>
    </w:p>
    <w:p w14:paraId="5FC0FDAE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1A69DB34" w14:textId="5D5D4F88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文献精读、社会事件讨论（如奥林巴斯造假事件）、心理剧创作</w:t>
      </w:r>
    </w:p>
    <w:p w14:paraId="6A0B1169" w14:textId="77777777" w:rsidR="00484D96" w:rsidRPr="00484D96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文化对比分析报告、耻感相关社会现象调研</w:t>
      </w:r>
    </w:p>
    <w:p w14:paraId="1D93391B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第三课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CF3B41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「察し」の文化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56495559" w14:textId="77777777" w:rsidR="00CF3B41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4761CB89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）理解日本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以心传心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的非语言交际特征及其社会背景</w:t>
      </w:r>
    </w:p>
    <w:p w14:paraId="209F17D6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）掌握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「空気を読む」「建前と本音」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等典型表达的文化内涵</w:t>
      </w:r>
    </w:p>
    <w:p w14:paraId="34028418" w14:textId="235C5369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）能够通过案例分析</w:t>
      </w:r>
      <w:r w:rsidR="00CF3B41">
        <w:rPr>
          <w:rFonts w:ascii="Yu Mincho" w:eastAsia="Yu Mincho" w:hAnsi="Yu Mincho" w:cs="Arial" w:hint="eastAsia"/>
          <w:color w:val="333333"/>
          <w:kern w:val="0"/>
          <w:sz w:val="24"/>
          <w:szCs w:val="24"/>
          <w:lang w:eastAsia="ja-JP"/>
        </w:rPr>
        <w:t>「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察し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文化</w:t>
      </w:r>
      <w:r w:rsidR="00CF3B41">
        <w:rPr>
          <w:rFonts w:ascii="Yu Mincho" w:eastAsia="Yu Mincho" w:hAnsi="Yu Mincho" w:cs="Arial" w:hint="eastAsia"/>
          <w:color w:val="333333"/>
          <w:kern w:val="0"/>
          <w:sz w:val="24"/>
          <w:szCs w:val="24"/>
          <w:lang w:eastAsia="ja-JP"/>
        </w:rPr>
        <w:t>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在跨文化交际中的误解与适应策略</w:t>
      </w:r>
    </w:p>
    <w:p w14:paraId="64E73A51" w14:textId="77777777" w:rsidR="00CF3B41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重点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：</w:t>
      </w:r>
    </w:p>
    <w:p w14:paraId="5FDD705F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）察し文化与集体主义思维模式的关联</w:t>
      </w:r>
    </w:p>
    <w:p w14:paraId="558D7FA7" w14:textId="77777777" w:rsidR="00CF3B41" w:rsidRP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）非直接表达（曖昧表現）的社会功能（如避免冲突、维护和谐）</w:t>
      </w:r>
    </w:p>
    <w:p w14:paraId="6A9FE2AE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：</w:t>
      </w:r>
    </w:p>
    <w:p w14:paraId="5F926AE7" w14:textId="2C5BFE22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lastRenderedPageBreak/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）数字化时代年轻世代对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读空气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文化的反叛（如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「KY」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批判）（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）中日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含蓄表达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的细微差异（如中国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面子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与日本</w:t>
      </w:r>
      <w:r w:rsidR="00CF3B41">
        <w:rPr>
          <w:rFonts w:ascii="MS Mincho" w:eastAsia="MS Mincho" w:hAnsi="MS Mincho" w:cs="Arial" w:hint="eastAsia"/>
          <w:color w:val="333333"/>
          <w:kern w:val="0"/>
          <w:sz w:val="24"/>
          <w:szCs w:val="24"/>
          <w:lang w:eastAsia="ja-JP"/>
        </w:rPr>
        <w:t>「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場の空気</w:t>
      </w:r>
      <w:r w:rsidR="00CF3B41">
        <w:rPr>
          <w:rFonts w:ascii="MS Mincho" w:eastAsia="MS Mincho" w:hAnsi="MS Mincho" w:cs="Arial" w:hint="eastAsia"/>
          <w:color w:val="333333"/>
          <w:kern w:val="0"/>
          <w:sz w:val="24"/>
          <w:szCs w:val="24"/>
          <w:lang w:eastAsia="ja-JP"/>
        </w:rPr>
        <w:t>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</w:t>
      </w:r>
    </w:p>
    <w:p w14:paraId="0D651DC0" w14:textId="77777777" w:rsidR="00CF3B41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5CEF989B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）察し文化的历史根源：从「和」思想到村落共同体</w:t>
      </w:r>
    </w:p>
    <w:p w14:paraId="2E12FBF0" w14:textId="60F8123D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）日常场景中的察し实践：赠答礼仪、沉默的含义、拒绝艺术</w:t>
      </w:r>
      <w:r w:rsidR="00E51E87">
        <w:rPr>
          <w:rFonts w:ascii="Arial" w:eastAsia="宋体" w:hAnsi="Arial" w:cs="Arial" w:hint="eastAsia"/>
          <w:color w:val="333333"/>
          <w:kern w:val="0"/>
          <w:sz w:val="24"/>
          <w:szCs w:val="24"/>
          <w:lang w:eastAsia="ja-JP"/>
        </w:rPr>
        <w:t>等</w:t>
      </w:r>
    </w:p>
    <w:p w14:paraId="4C2145E9" w14:textId="7EAA435D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E51E87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）艺术领域：能剧的「間」、茶道「一座建立」</w:t>
      </w:r>
    </w:p>
    <w:p w14:paraId="3EBE2120" w14:textId="2BF19D61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E51E87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）负面案例：因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不会读空气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导致的校园</w:t>
      </w:r>
      <w:r w:rsidR="00E51E8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、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职场孤立</w:t>
      </w:r>
    </w:p>
    <w:p w14:paraId="357FB9DF" w14:textId="77777777" w:rsidR="00E51E87" w:rsidRDefault="00484D96" w:rsidP="00E51E87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="00E51E87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）跨文化对比：日本察し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 xml:space="preserve">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西方直接沟通</w:t>
      </w:r>
    </w:p>
    <w:p w14:paraId="4123A3CF" w14:textId="39A62254" w:rsidR="00484D96" w:rsidRPr="00484D96" w:rsidRDefault="00484D96" w:rsidP="00E51E87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F502028" w14:textId="06BA1874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角色扮演（设计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需要读空气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的冲突场景）</w:t>
      </w:r>
    </w:p>
    <w:p w14:paraId="0FEE5DD9" w14:textId="7F3BC11F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影视片段分析（如《半泽直树》中沉默对抗片段）</w:t>
      </w:r>
    </w:p>
    <w:p w14:paraId="469313F7" w14:textId="0E98C192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漫画文本解读（《岛耕作》系列职场交际案例）</w:t>
      </w:r>
    </w:p>
    <w:p w14:paraId="1371C52C" w14:textId="77777777" w:rsidR="00484D96" w:rsidRPr="00484D96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EA5E5AE" w14:textId="557676B8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  <w:lang w:eastAsia="ja-JP"/>
        </w:rPr>
        <w:t>（1）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察し文化相关情景剧表演（小组合作）</w:t>
      </w:r>
    </w:p>
    <w:p w14:paraId="0D68FCA3" w14:textId="6F0561B3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跨文化误解案例分析报告（书面作业）</w:t>
      </w:r>
    </w:p>
    <w:p w14:paraId="0FB0A414" w14:textId="77777777" w:rsidR="00484D96" w:rsidRPr="00484D96" w:rsidRDefault="00F763E6" w:rsidP="00484D96">
      <w:pPr>
        <w:widowControl/>
        <w:spacing w:before="180" w:after="1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52262CD8">
          <v:rect id="_x0000_i1026" style="width:3.6pt;height:.75pt" o:hrpct="0" o:hrstd="t" o:hrnoshade="t" o:hr="t" fillcolor="#333" stroked="f"/>
        </w:pict>
      </w:r>
    </w:p>
    <w:p w14:paraId="069342D9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第四课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D73780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「タテ」社会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55A00EB4" w14:textId="77777777" w:rsidR="00D73780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4CA15706" w14:textId="77777777" w:rsidR="00D73780" w:rsidRDefault="00484D96" w:rsidP="00D73780">
      <w:pPr>
        <w:widowControl/>
        <w:shd w:val="clear" w:color="auto" w:fill="FFFFFF"/>
        <w:spacing w:line="435" w:lineRule="atLeast"/>
        <w:ind w:left="360"/>
        <w:jc w:val="left"/>
        <w:rPr>
          <w:rFonts w:ascii="Arial" w:eastAsia="Yu Mincho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）掌握日本纵向社会（タテ社会）的等级结构特征及其形成机制</w:t>
      </w:r>
    </w:p>
    <w:p w14:paraId="5A783F6B" w14:textId="48BE6E7C" w:rsidR="00484D96" w:rsidRPr="00484D96" w:rsidRDefault="00484D96" w:rsidP="00D73780">
      <w:pPr>
        <w:widowControl/>
        <w:shd w:val="clear" w:color="auto" w:fill="FFFFFF"/>
        <w:spacing w:line="435" w:lineRule="atLeast"/>
        <w:ind w:left="36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）分析纵向关系在职场（年功序列）、家庭（家制度）中的具体表现（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）能够批判性思考纵向社会对现代日本发展的双重影响</w:t>
      </w:r>
    </w:p>
    <w:p w14:paraId="3840B577" w14:textId="77777777" w:rsidR="00D73780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教学重点与难点</w:t>
      </w:r>
    </w:p>
    <w:p w14:paraId="4173AE97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）纵向社会与「序列意識」的互动关系</w:t>
      </w:r>
    </w:p>
    <w:p w14:paraId="18A621CE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</w:t>
      </w:r>
      <w:r w:rsidRPr="00D73780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「ウチ</w:t>
      </w:r>
      <w:r w:rsidRPr="00D73780">
        <w:rPr>
          <w:rFonts w:ascii="MS Mincho" w:eastAsia="MS Mincho" w:hAnsi="MS Mincho" w:cs="微软雅黑" w:hint="eastAsia"/>
          <w:color w:val="333333"/>
          <w:kern w:val="0"/>
          <w:sz w:val="24"/>
          <w:szCs w:val="24"/>
          <w:lang w:eastAsia="ja-JP"/>
        </w:rPr>
        <w:t>・</w:t>
      </w:r>
      <w:r w:rsidRPr="00D73780">
        <w:rPr>
          <w:rFonts w:ascii="MS Mincho" w:eastAsia="MS Mincho" w:hAnsi="MS Mincho" w:cs="宋体" w:hint="eastAsia"/>
          <w:color w:val="333333"/>
          <w:kern w:val="0"/>
          <w:sz w:val="24"/>
          <w:szCs w:val="24"/>
          <w:lang w:eastAsia="ja-JP"/>
        </w:rPr>
        <w:t>ソト」</w:t>
      </w:r>
      <w:r w:rsidRPr="00484D96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ja-JP"/>
        </w:rPr>
        <w:t>意识对人际距离的调控作用</w:t>
      </w:r>
    </w:p>
    <w:p w14:paraId="5225DBBD" w14:textId="4F9EC2DB" w:rsidR="00484D96" w:rsidRPr="00484D96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D73780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）纵向社会中横向关系的特殊形态（如「同期」「闺蜜文化」）</w:t>
      </w:r>
      <w:r w:rsidR="00D7378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等</w:t>
      </w:r>
    </w:p>
    <w:p w14:paraId="1B669CDD" w14:textId="77777777" w:rsidR="00D73780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348987CB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）纵向社会的三大支柱：家元制度、年功序列、终身雇佣</w:t>
      </w:r>
    </w:p>
    <w:p w14:paraId="70653A8C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）历史脉络：从武士主従关系到现代企业组织</w:t>
      </w:r>
    </w:p>
    <w:p w14:paraId="6A0B5ABD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）职场案例：丰田「稟議制度」与上下级沟通模式</w:t>
      </w:r>
    </w:p>
    <w:p w14:paraId="7E1FF96D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lastRenderedPageBreak/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）对比研究：日本タテ社会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 xml:space="preserve">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中国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差序格局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</w:p>
    <w:p w14:paraId="116BC2C5" w14:textId="29417147" w:rsidR="00484D96" w:rsidRPr="00D3034B" w:rsidRDefault="00484D96" w:rsidP="00D3034B">
      <w:pPr>
        <w:pStyle w:val="aa"/>
        <w:widowControl/>
        <w:numPr>
          <w:ilvl w:val="1"/>
          <w:numId w:val="2"/>
        </w:numPr>
        <w:shd w:val="clear" w:color="auto" w:fill="FFFFFF"/>
        <w:spacing w:line="435" w:lineRule="atLeast"/>
        <w:ind w:firstLineChars="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危机与变革：过劳死问题、女性管理层突破</w:t>
      </w:r>
      <w:r w:rsidRPr="00D3034B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「ガラスの天井」</w:t>
      </w:r>
      <w:r w:rsidR="00D73780" w:rsidRPr="00D3034B">
        <w:rPr>
          <w:rFonts w:ascii="Arial" w:eastAsia="宋体" w:hAnsi="Arial" w:cs="Arial" w:hint="eastAsia"/>
          <w:color w:val="333333"/>
          <w:kern w:val="0"/>
          <w:sz w:val="24"/>
          <w:szCs w:val="24"/>
          <w:lang w:eastAsia="ja-JP"/>
        </w:rPr>
        <w:t>等</w:t>
      </w:r>
    </w:p>
    <w:p w14:paraId="358ABD30" w14:textId="77777777" w:rsidR="00D3034B" w:rsidRDefault="00484D96" w:rsidP="00D3034B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3A0663C5" w14:textId="4527060D" w:rsidR="00484D96" w:rsidRPr="00D3034B" w:rsidRDefault="00D3034B" w:rsidP="00D3034B">
      <w:pPr>
        <w:widowControl/>
        <w:shd w:val="clear" w:color="auto" w:fill="FFFFFF"/>
        <w:spacing w:line="435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日本企业组织架构图绘制（如丰田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vs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索尼对比）</w:t>
      </w:r>
    </w:p>
    <w:p w14:paraId="222E48EC" w14:textId="32214784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辩论赛：「年功序列制度是否应该废除」</w:t>
      </w:r>
    </w:p>
    <w:p w14:paraId="64B03CBB" w14:textId="319D5A45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邀请日企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HR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管理者进行线上访谈</w:t>
      </w:r>
    </w:p>
    <w:p w14:paraId="5816B836" w14:textId="77777777" w:rsidR="00484D96" w:rsidRPr="00484D96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44C5F052" w14:textId="77777777" w:rsidR="00D3034B" w:rsidRDefault="00484D96" w:rsidP="00D3034B">
      <w:pPr>
        <w:widowControl/>
        <w:shd w:val="clear" w:color="auto" w:fill="FFFFFF"/>
        <w:spacing w:before="90" w:after="90" w:line="420" w:lineRule="atLeast"/>
        <w:ind w:left="14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纵向社会案例分析报告</w:t>
      </w:r>
    </w:p>
    <w:p w14:paraId="7B8D29A0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第五课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 xml:space="preserve"> </w:t>
      </w:r>
      <w:r w:rsidRPr="00D3034B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</w:rPr>
        <w:t>世間体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学时）</w:t>
      </w:r>
    </w:p>
    <w:p w14:paraId="5BCC7242" w14:textId="77777777" w:rsidR="00D3034B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）理解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世間体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作为日本社会行为规范的核心机制</w:t>
      </w:r>
    </w:p>
    <w:p w14:paraId="5733FFCF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）分析世間体对个人选择（如职业、婚姻）的制约作用</w:t>
      </w:r>
    </w:p>
    <w:p w14:paraId="7182D2AA" w14:textId="675F89BD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）能够辩证评价世間体在维护社会秩序与压抑个体自由中的双重性</w:t>
      </w:r>
    </w:p>
    <w:p w14:paraId="35932CA2" w14:textId="77777777" w:rsidR="00D3034B" w:rsidRDefault="00484D96" w:rsidP="00AD35B8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D3034B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教学重点与难点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6FCB1641" w14:textId="5F6EB7EF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="00D3034B"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）世間体与</w:t>
      </w:r>
      <w:r w:rsidRPr="00D3034B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「恥の文化」「タテ社会」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的联动关系</w:t>
      </w:r>
    </w:p>
    <w:p w14:paraId="42D8AF6E" w14:textId="5D21A124" w:rsidR="00484D96" w:rsidRP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4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）社交媒体时代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虚拟世間体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D3034B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インスタ映え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）的新形态</w:t>
      </w:r>
    </w:p>
    <w:p w14:paraId="2381FAD0" w14:textId="77777777" w:rsidR="00D3034B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2366D9C3" w14:textId="43FEDD70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）世間体的定义：从村落共同体到现代社会的延续</w:t>
      </w:r>
    </w:p>
    <w:p w14:paraId="2ED840B2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）具体表现：</w:t>
      </w:r>
    </w:p>
    <w:p w14:paraId="6D9F4C9D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）家庭与职场中的世間体：</w:t>
      </w:r>
    </w:p>
    <w:p w14:paraId="668034DE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）媒体案例：</w:t>
      </w:r>
    </w:p>
    <w:p w14:paraId="0DCEE98D" w14:textId="44BECB0B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）跨文化对比：日本世間体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中国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人情社会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”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西方个人主义</w:t>
      </w:r>
    </w:p>
    <w:p w14:paraId="55E290DA" w14:textId="77777777" w:rsidR="00484D96" w:rsidRPr="00484D96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388CD7F0" w14:textId="0788A07C" w:rsidR="00D3034B" w:rsidRPr="00D3034B" w:rsidRDefault="00D3034B" w:rsidP="00D3034B">
      <w:pPr>
        <w:widowControl/>
        <w:shd w:val="clear" w:color="auto" w:fill="FFFFFF"/>
        <w:spacing w:before="90" w:after="90" w:line="420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模拟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世間体困境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情景辩论</w:t>
      </w:r>
    </w:p>
    <w:p w14:paraId="205342E7" w14:textId="13443466" w:rsidR="00484D96" w:rsidRPr="00D3034B" w:rsidRDefault="00D3034B" w:rsidP="00D3034B">
      <w:pPr>
        <w:widowControl/>
        <w:shd w:val="clear" w:color="auto" w:fill="FFFFFF"/>
        <w:spacing w:before="90" w:after="90" w:line="420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东京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大阪地域世間体差异调研</w:t>
      </w:r>
    </w:p>
    <w:p w14:paraId="353A6399" w14:textId="77777777" w:rsidR="00484D96" w:rsidRPr="00484D96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675EADD" w14:textId="6498BC93" w:rsidR="00484D96" w:rsidRPr="00484D96" w:rsidRDefault="00484D96" w:rsidP="00D3034B">
      <w:pPr>
        <w:widowControl/>
        <w:shd w:val="clear" w:color="auto" w:fill="FFFFFF"/>
        <w:spacing w:before="90" w:after="90" w:line="420" w:lineRule="atLeast"/>
        <w:ind w:left="14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世間体相关社会现象调研报告</w:t>
      </w:r>
    </w:p>
    <w:p w14:paraId="74BFCE10" w14:textId="77777777" w:rsidR="00484D96" w:rsidRPr="00484D96" w:rsidRDefault="00F763E6" w:rsidP="00484D96">
      <w:pPr>
        <w:widowControl/>
        <w:spacing w:before="180" w:after="1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00634650">
          <v:rect id="_x0000_i1027" style="width:3.6pt;height:.75pt" o:hrpct="0" o:hrstd="t" o:hrnoshade="t" o:hr="t" fillcolor="#333" stroked="f"/>
        </w:pict>
      </w:r>
    </w:p>
    <w:p w14:paraId="7D513B56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lastRenderedPageBreak/>
        <w:t>第六课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D3034B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「縮み」の文化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10F247C4" w14:textId="77777777" w:rsidR="00D3034B" w:rsidRDefault="00484D96" w:rsidP="00484D96">
      <w:pPr>
        <w:widowControl/>
        <w:numPr>
          <w:ilvl w:val="0"/>
          <w:numId w:val="6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1ED45D47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）掌握日本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缩小意识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的审美取向与社会心理基础</w:t>
      </w:r>
    </w:p>
    <w:p w14:paraId="580136EA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在技术（微型化）、空间（胶囊旅馆）等领域的具象化</w:t>
      </w:r>
    </w:p>
    <w:p w14:paraId="305E5871" w14:textId="4BD8D21B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）探讨少子化、地方衰退等现代课题与缩小文化的潜在关联</w:t>
      </w:r>
    </w:p>
    <w:p w14:paraId="4E299A03" w14:textId="77777777" w:rsidR="00D3034B" w:rsidRDefault="00484D96" w:rsidP="00484D96">
      <w:pPr>
        <w:widowControl/>
        <w:numPr>
          <w:ilvl w:val="0"/>
          <w:numId w:val="6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2CE6DE37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）小型化审美与资源匮乏危机意识的关联（如盆栽、俳句）</w:t>
      </w:r>
    </w:p>
    <w:p w14:paraId="3095B81F" w14:textId="6D3AD22C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D3034B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）全球化背景下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与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扩张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的矛盾</w:t>
      </w:r>
    </w:p>
    <w:p w14:paraId="2E73A6D1" w14:textId="36C4AB27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D3034B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）消极缩退（人口减少）与积极浓缩（精益制造）的辩证关系</w:t>
      </w:r>
    </w:p>
    <w:p w14:paraId="00ACBC3E" w14:textId="77777777" w:rsidR="00D3034B" w:rsidRDefault="00484D96" w:rsidP="00484D96">
      <w:pPr>
        <w:widowControl/>
        <w:numPr>
          <w:ilvl w:val="0"/>
          <w:numId w:val="6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C286358" w14:textId="6493595C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）历史溯源：</w:t>
      </w:r>
      <w:r w:rsidR="00D3034B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14:paraId="51B31F90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）物质文化：折叠伞、便当盒、榻榻米模块化空间</w:t>
      </w:r>
    </w:p>
    <w:p w14:paraId="22E63C4F" w14:textId="03D7F964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）现代课题：地方城市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缩小化生存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策略</w:t>
      </w:r>
    </w:p>
    <w:p w14:paraId="37BD1A4D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）国际对比：日本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”vs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美国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越大越好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消费主义</w:t>
      </w:r>
    </w:p>
    <w:p w14:paraId="180B1FF4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）未来展望：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AI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技术如何重构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文化</w:t>
      </w:r>
    </w:p>
    <w:p w14:paraId="3A8361F0" w14:textId="7BECA1BE" w:rsidR="00484D96" w:rsidRPr="00484D96" w:rsidRDefault="00D3034B" w:rsidP="00D3034B">
      <w:pPr>
        <w:widowControl/>
        <w:shd w:val="clear" w:color="auto" w:fill="FFFFFF"/>
        <w:spacing w:line="435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4. </w:t>
      </w:r>
      <w:r w:rsidR="00484D96"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B4BC06E" w14:textId="0525EAA2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数据分析：比较日本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德国人均居住面积与空间利用率</w:t>
      </w:r>
    </w:p>
    <w:p w14:paraId="104AC5C8" w14:textId="77777777" w:rsidR="00D3034B" w:rsidRDefault="00D3034B" w:rsidP="00D3034B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浓缩日本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创意设计工作坊</w:t>
      </w:r>
    </w:p>
    <w:p w14:paraId="5818E8C2" w14:textId="31FBE86E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5. </w:t>
      </w:r>
      <w:r w:rsidR="00484D96"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C95F20A" w14:textId="7A48C484" w:rsidR="00484D96" w:rsidRPr="00484D96" w:rsidRDefault="00484D96" w:rsidP="00D3034B">
      <w:pPr>
        <w:widowControl/>
        <w:shd w:val="clear" w:color="auto" w:fill="FFFFFF"/>
        <w:spacing w:before="90" w:after="90" w:line="420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研究报告</w:t>
      </w:r>
      <w:r w:rsidR="00D3034B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小组</w:t>
      </w:r>
      <w:r w:rsidR="00D3034B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发表</w:t>
      </w:r>
    </w:p>
    <w:p w14:paraId="374332E2" w14:textId="77777777" w:rsidR="005C1E38" w:rsidRPr="00484D96" w:rsidRDefault="005C1E38" w:rsidP="00E70EEB">
      <w:pPr>
        <w:adjustRightInd w:val="0"/>
        <w:snapToGrid w:val="0"/>
        <w:rPr>
          <w:rFonts w:ascii="Times New Roman" w:eastAsia="宋体" w:hAnsi="Times New Roman"/>
          <w:szCs w:val="21"/>
        </w:rPr>
      </w:pPr>
    </w:p>
    <w:p w14:paraId="116C3B38" w14:textId="21A426C8" w:rsidR="00484D96" w:rsidRPr="00A66860" w:rsidRDefault="00484D96" w:rsidP="00484D96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/>
        </w:rPr>
      </w:pPr>
      <w:r>
        <w:rPr>
          <w:rFonts w:ascii="黑体" w:eastAsia="黑体" w:hAnsi="黑体" w:hint="eastAsia"/>
          <w:b/>
          <w:sz w:val="28"/>
          <w:szCs w:val="28"/>
        </w:rPr>
        <w:t>五</w:t>
      </w:r>
      <w:r w:rsidRPr="00A66860">
        <w:rPr>
          <w:rFonts w:ascii="黑体" w:eastAsia="黑体" w:hAnsi="黑体" w:hint="eastAsia"/>
          <w:b/>
          <w:sz w:val="28"/>
          <w:szCs w:val="28"/>
        </w:rPr>
        <w:t>、学时分配</w:t>
      </w:r>
    </w:p>
    <w:p w14:paraId="19F01DB9" w14:textId="31707CD5" w:rsidR="00484D96" w:rsidRDefault="00484D96" w:rsidP="001106F0">
      <w:pPr>
        <w:adjustRightInd w:val="0"/>
        <w:snapToGrid w:val="0"/>
        <w:jc w:val="center"/>
        <w:rPr>
          <w:rFonts w:ascii="宋体" w:eastAsia="宋体" w:hAnsi="宋体"/>
          <w:szCs w:val="21"/>
        </w:rPr>
      </w:pPr>
      <w:r w:rsidRPr="00A66860">
        <w:rPr>
          <w:rFonts w:ascii="宋体" w:eastAsia="宋体" w:hAnsi="宋体" w:hint="eastAsia"/>
          <w:b/>
          <w:szCs w:val="21"/>
        </w:rPr>
        <w:t>表2：各章节的具体内容和学时分配表</w:t>
      </w:r>
      <w:r w:rsidRPr="00A66860">
        <w:rPr>
          <w:rFonts w:ascii="宋体" w:eastAsia="宋体" w:hAnsi="宋体" w:hint="eastAsia"/>
          <w:szCs w:val="21"/>
        </w:rPr>
        <w:t>（五号宋体）</w:t>
      </w:r>
    </w:p>
    <w:p w14:paraId="01058BE6" w14:textId="4857AF27" w:rsidR="00484D96" w:rsidRPr="00484D96" w:rsidRDefault="00484D96" w:rsidP="00484D96">
      <w:pPr>
        <w:widowControl/>
        <w:shd w:val="clear" w:color="auto" w:fill="FFFFFF"/>
        <w:jc w:val="left"/>
        <w:outlineLvl w:val="3"/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4845"/>
        <w:gridCol w:w="1504"/>
      </w:tblGrid>
      <w:tr w:rsidR="00484D96" w:rsidRPr="00484D96" w14:paraId="5076E62C" w14:textId="77777777" w:rsidTr="00484D9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CD4BA5D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章节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17FE6A64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章节内容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16442CC9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学时分配</w:t>
            </w:r>
          </w:p>
        </w:tc>
      </w:tr>
      <w:tr w:rsidR="00484D96" w:rsidRPr="00484D96" w14:paraId="4454B5D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6906F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3C270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D3034B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「ポライトネス」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と敬語（礼貌与敬语）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2B27C3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4D36C0EE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0D164E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18E3A8" w14:textId="4C04266F" w:rsidR="00484D96" w:rsidRPr="00D3034B" w:rsidRDefault="00484D96" w:rsidP="00484D96">
            <w:pPr>
              <w:widowControl/>
              <w:jc w:val="left"/>
              <w:rPr>
                <w:rFonts w:ascii="Arial" w:eastAsia="Yu Mincho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耻文化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E299E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45D465A8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94430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ADC31D7" w14:textId="56434A03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「察し」の文化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C70FE3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1EF6D9F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04CBF5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第四章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B562AC1" w14:textId="2EDC6A5F" w:rsidR="00484D96" w:rsidRPr="00D3034B" w:rsidRDefault="00484D96" w:rsidP="00484D96">
            <w:pPr>
              <w:widowControl/>
              <w:jc w:val="left"/>
              <w:rPr>
                <w:rFonts w:ascii="Arial" w:eastAsia="Yu Mincho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D3034B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「タテ」社会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B2EB0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7E3A26DA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94D2CD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0BD801C" w14:textId="58E9798E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世間体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0E8636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E468A62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7F1817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70181D6" w14:textId="0FE91B86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D3034B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「縮み」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FDEB80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0733A0D4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337A11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82C3192" w14:textId="5A862422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中日跨文化交际理论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27680B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7675E549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2ADA40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第八章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A7A9788" w14:textId="6DAA3E22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D3034B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语言观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C1400F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06F101C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3EA0E6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第九章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536E951" w14:textId="27D037B8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D3034B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人情观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6A1C43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5F558293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6DE88B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23072C9" w14:textId="7CFD15DB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D3034B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面子观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7B03E5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BC3F17E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E7F3DD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274EF73" w14:textId="679F384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7A4B6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劳动观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B12D00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2DA83E73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7142AF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BC033EB" w14:textId="70459C4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中日家庭观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794AC7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4EE3EF1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A707BA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843654B" w14:textId="3989490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中日教育文化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C91C29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7F0D4559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958B222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AB6753A" w14:textId="62C3677C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中日流行文化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BC18B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FAD4B3C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2A66D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B8E5C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中日文学中的文化元素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53032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527A5EC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62C02A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16DBF6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中日历史交流与文化融合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A55390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36F2AA0C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937EF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7BA9A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课程总结与跨文化交际能力评估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728E55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</w:tbl>
    <w:p w14:paraId="443F9167" w14:textId="77777777" w:rsidR="001106F0" w:rsidRDefault="001106F0" w:rsidP="007A4B66">
      <w:pPr>
        <w:widowControl/>
        <w:spacing w:before="100" w:beforeAutospacing="1" w:after="100" w:afterAutospacing="1"/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</w:pPr>
    </w:p>
    <w:p w14:paraId="792B8A2C" w14:textId="5D313809" w:rsidR="001106F0" w:rsidRDefault="001106F0" w:rsidP="001106F0">
      <w:pPr>
        <w:widowControl/>
        <w:spacing w:before="100" w:beforeAutospacing="1" w:after="100" w:afterAutospacing="1"/>
        <w:ind w:firstLineChars="200" w:firstLine="482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五、教学进度</w:t>
      </w:r>
      <w:r w:rsidRPr="00A66860">
        <w:rPr>
          <w:rFonts w:ascii="Segoe UI" w:eastAsia="宋体" w:hAnsi="Segoe UI" w:cs="Segoe UI"/>
          <w:color w:val="404040"/>
          <w:kern w:val="0"/>
          <w:sz w:val="24"/>
          <w:szCs w:val="24"/>
        </w:rPr>
        <w:t>（四号黑体）</w:t>
      </w:r>
    </w:p>
    <w:p w14:paraId="1660C50E" w14:textId="77777777" w:rsidR="001106F0" w:rsidRDefault="001106F0" w:rsidP="001106F0">
      <w:pPr>
        <w:adjustRightInd w:val="0"/>
        <w:snapToGrid w:val="0"/>
        <w:jc w:val="center"/>
        <w:rPr>
          <w:rFonts w:ascii="宋体" w:eastAsia="宋体" w:hAnsi="宋体"/>
          <w:szCs w:val="21"/>
        </w:rPr>
      </w:pP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表</w:t>
      </w: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3</w:t>
      </w: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：教学进度表</w:t>
      </w:r>
      <w:r w:rsidRPr="00A66860">
        <w:rPr>
          <w:rFonts w:ascii="Segoe UI" w:eastAsia="宋体" w:hAnsi="Segoe UI" w:cs="Segoe UI"/>
          <w:color w:val="404040"/>
          <w:kern w:val="0"/>
          <w:sz w:val="24"/>
          <w:szCs w:val="24"/>
        </w:rPr>
        <w:t>（五号宋体）</w:t>
      </w:r>
    </w:p>
    <w:p w14:paraId="1974625C" w14:textId="77777777" w:rsidR="001106F0" w:rsidRDefault="001106F0" w:rsidP="001106F0">
      <w:pPr>
        <w:adjustRightInd w:val="0"/>
        <w:snapToGrid w:val="0"/>
        <w:rPr>
          <w:rFonts w:ascii="Times New Roman" w:eastAsia="宋体" w:hAnsi="Times New Roman"/>
          <w:szCs w:val="21"/>
        </w:rPr>
      </w:pPr>
    </w:p>
    <w:p w14:paraId="3D4267A4" w14:textId="272AFECC" w:rsidR="00484D96" w:rsidRPr="00484D96" w:rsidRDefault="00484D96" w:rsidP="00484D96">
      <w:pPr>
        <w:widowControl/>
        <w:shd w:val="clear" w:color="auto" w:fill="FFFFFF"/>
        <w:jc w:val="left"/>
        <w:outlineLvl w:val="3"/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766"/>
        <w:gridCol w:w="1145"/>
        <w:gridCol w:w="1858"/>
        <w:gridCol w:w="1070"/>
        <w:gridCol w:w="1843"/>
        <w:gridCol w:w="785"/>
      </w:tblGrid>
      <w:tr w:rsidR="001106F0" w:rsidRPr="00484D96" w14:paraId="6430ED8E" w14:textId="77777777" w:rsidTr="001106F0">
        <w:trPr>
          <w:tblHeader/>
          <w:tblCellSpacing w:w="15" w:type="dxa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378ED1E6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D173DCA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日期</w:t>
            </w: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FAA7B65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章节名称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A4CCC33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内容提要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F4299C3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授课时数</w:t>
            </w:r>
          </w:p>
        </w:tc>
        <w:tc>
          <w:tcPr>
            <w:tcW w:w="18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3911DADB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作业及要求</w:t>
            </w: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D05D7B3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备注</w:t>
            </w:r>
          </w:p>
        </w:tc>
      </w:tr>
      <w:tr w:rsidR="001106F0" w:rsidRPr="00484D96" w14:paraId="6C3664EF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16406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B22EE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2BEFCB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F197F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7A4B6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「ポライトネス」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と敬語（礼貌与敬语）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5F2A3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E3006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分析中日敬语使用场景，撰写心得体会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E94596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115F2307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DCB1E9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4611A6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C3F17B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B7DC523" w14:textId="6C8CF1CF" w:rsidR="00484D96" w:rsidRPr="007A4B66" w:rsidRDefault="00484D96" w:rsidP="00484D96">
            <w:pPr>
              <w:widowControl/>
              <w:jc w:val="left"/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7A4B6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「恥」の文化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3009AA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93977F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探讨中日耻文化异同，准备课堂讨论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CBD332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1651B77B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9CF733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83331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24B986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9217C82" w14:textId="482C4814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7A4B6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「察し」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B254B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868502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分析中日察言观色文化在交际中的应用，撰写案例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4D9104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4D69647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7F894B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6D2E2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591796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EBEE7D" w14:textId="64085DF9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0948A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「タテ」社会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E290B7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7AA078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比较中日纵向社会结构特点，进行小组讨论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0EFDFC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3FA6C76C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F3FC40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5127F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07761F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EF5E06D" w14:textId="300A026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世間体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9AF891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E2A385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分析中日世俗眼光对个体行为的影响，撰写短文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C0B32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5F7FF0EF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3D60A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9B218D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070149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6D219C8" w14:textId="0B0C2229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0948A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「縮み」の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533C0F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D7F474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探讨中日委婉含蓄文化的表达方式，进行角色扮演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6DE76C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41148064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A4ADA9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4B09D8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99547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34A00B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中日跨文化交际基础理论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90A623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E65D96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掌握跨文化交际基本概念，准备课堂问答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530C8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6AD442B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A8E650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C5A7A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0BED9F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第八章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BD8A97" w14:textId="2F358886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语言观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67A87D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5BB0E4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分析中日非言语交际行为差异，撰写分析报告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420010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69ACC3EF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C0FF96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E115E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5112AA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第九章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E9D7725" w14:textId="6531BCA3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人情观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9F0AEA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69A2F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调研中日饮食文化特色，进行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PPT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展示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9EF86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795FD2AB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3E5A85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C7765B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B854CE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E53C8C" w14:textId="728E9424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面子观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C50AAE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DB8B31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总结中日礼仪习俗异同，进行小组讨论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1BC218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3A978401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C21F00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D01BA1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4C1EA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41C077" w14:textId="4976C975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劳动观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2818B8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ED32612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分析中日职场文化特点，撰写职场文化对比报告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5683A7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0FE4CB8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AFEA9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4C8511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3DCBBB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61986A9" w14:textId="6D1B665E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中日家庭观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C4FE9E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0CDC52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探讨中日家庭观念异同，准备课堂演讲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1100D8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5F607F5D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7605E8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717E14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A2B028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F0D517B" w14:textId="4F330E52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中日教育文化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FBC45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A8CDB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研究中日教育文化差异，撰写调研报告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3E9E77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71870689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02FE2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1DD298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8F40E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EBA2A2D" w14:textId="74B94876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中日流行文化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6F0B9A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0FAD3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分析中日流行文化现象，进行案例分析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075C80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19CCB610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12A1E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9D985D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8F1478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B52C50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中日文学中的文化元素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15CE74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2214F7" w14:textId="031DCD8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解读文学作品中的文化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元素，撰写读后感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A8B371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53B1FC79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D71355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B1826E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99D6D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0D2FAC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中日历史交流与文化融合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EB588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7AFB0F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梳理中日历史交流脉络，撰写文化交流史小论文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A240A7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484D96" w:rsidRPr="00484D96" w14:paraId="2EA5BDD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5E042F29" w14:textId="412FF160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61922DE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3FF7FA58" w14:textId="2E3E98BA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274BCC60" w14:textId="09DAAAA4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课程总结与跨文化交际能力评估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21EC4084" w14:textId="1E7E2C3A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7F73BFEC" w14:textId="4071AAA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总结课程学习成果，进行跨文化交际能力测</w:t>
            </w:r>
            <w:r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试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1696B4E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</w:tbl>
    <w:p w14:paraId="658B7590" w14:textId="3229FBBE" w:rsidR="00484D96" w:rsidRDefault="00484D96" w:rsidP="00484D96">
      <w:pPr>
        <w:adjustRightInd w:val="0"/>
        <w:snapToGrid w:val="0"/>
        <w:rPr>
          <w:rFonts w:ascii="宋体" w:eastAsia="宋体" w:hAnsi="宋体"/>
          <w:szCs w:val="21"/>
        </w:rPr>
      </w:pPr>
    </w:p>
    <w:p w14:paraId="4AD72E0C" w14:textId="445C8D7B" w:rsidR="00F867AF" w:rsidRPr="004973D2" w:rsidRDefault="00484D96" w:rsidP="00F867A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MS Mincho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七</w:t>
      </w:r>
      <w:r w:rsidR="00F867AF" w:rsidRPr="00F56396">
        <w:rPr>
          <w:rFonts w:ascii="黑体" w:eastAsia="黑体" w:hAnsi="黑体" w:hint="eastAsia"/>
          <w:b/>
          <w:sz w:val="28"/>
          <w:szCs w:val="28"/>
        </w:rPr>
        <w:t>、考核方式及评定方法</w:t>
      </w:r>
    </w:p>
    <w:p w14:paraId="3BCAEE03" w14:textId="77777777" w:rsidR="005402F0" w:rsidRPr="0014783E" w:rsidRDefault="005402F0" w:rsidP="005402F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（一）课程考核与课程目标的对应关系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55A4">
        <w:rPr>
          <w:rFonts w:ascii="Times New Roman" w:eastAsia="宋体" w:hAnsi="Times New Roman" w:hint="eastAsia"/>
          <w:szCs w:val="21"/>
        </w:rPr>
        <w:t>（小四号黑体）</w:t>
      </w:r>
    </w:p>
    <w:p w14:paraId="7319C5C6" w14:textId="474654C4" w:rsidR="005402F0" w:rsidRPr="00F555A4" w:rsidRDefault="005402F0" w:rsidP="005402F0">
      <w:pPr>
        <w:widowControl/>
        <w:spacing w:beforeLines="50" w:before="156" w:afterLines="50" w:after="156"/>
        <w:jc w:val="center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b/>
          <w:szCs w:val="21"/>
        </w:rPr>
        <w:t>课程考核与课程目标的对应关系表</w:t>
      </w:r>
      <w:r w:rsidRPr="00F555A4">
        <w:rPr>
          <w:rFonts w:ascii="Times New Roman" w:eastAsia="宋体" w:hAnsi="Times New Roman" w:hint="eastAsia"/>
          <w:szCs w:val="21"/>
        </w:rPr>
        <w:t>（五号宋体）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716"/>
        <w:gridCol w:w="2849"/>
      </w:tblGrid>
      <w:tr w:rsidR="005402F0" w:rsidRPr="00F555A4" w14:paraId="166A2D07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3EC53138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14:paraId="2DFE0796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575E1F5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考核方式</w:t>
            </w:r>
          </w:p>
        </w:tc>
      </w:tr>
      <w:tr w:rsidR="005402F0" w:rsidRPr="00F555A4" w14:paraId="423F5F6A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024E21CA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3716" w:type="dxa"/>
            <w:vAlign w:val="center"/>
          </w:tcPr>
          <w:p w14:paraId="0A72F75C" w14:textId="2B19074D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培养学生</w:t>
            </w:r>
            <w:r>
              <w:rPr>
                <w:rFonts w:ascii="Times New Roman" w:hAnsi="Times New Roman" w:hint="eastAsia"/>
                <w:szCs w:val="21"/>
              </w:rPr>
              <w:t>理解和掌握日本文化，能够有效达成跨文化交际目的</w:t>
            </w:r>
          </w:p>
        </w:tc>
        <w:tc>
          <w:tcPr>
            <w:tcW w:w="2849" w:type="dxa"/>
            <w:vAlign w:val="center"/>
          </w:tcPr>
          <w:p w14:paraId="77884802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5402F0" w:rsidRPr="00F555A4" w14:paraId="6924FB82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143C4964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716" w:type="dxa"/>
            <w:vAlign w:val="center"/>
          </w:tcPr>
          <w:p w14:paraId="67D839AC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提高学生的分析能力和独立思考能力</w:t>
            </w:r>
          </w:p>
        </w:tc>
        <w:tc>
          <w:tcPr>
            <w:tcW w:w="2849" w:type="dxa"/>
            <w:vAlign w:val="center"/>
          </w:tcPr>
          <w:p w14:paraId="6D296C19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5402F0" w:rsidRPr="00F555A4" w14:paraId="58BAFACF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4AD190F4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716" w:type="dxa"/>
            <w:vAlign w:val="center"/>
          </w:tcPr>
          <w:p w14:paraId="64B2BB9A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提升学生</w:t>
            </w:r>
            <w:r>
              <w:rPr>
                <w:rFonts w:ascii="Times New Roman" w:hAnsi="Times New Roman" w:hint="eastAsia"/>
              </w:rPr>
              <w:t>的跨文化交际</w:t>
            </w:r>
            <w:r w:rsidRPr="00F555A4">
              <w:rPr>
                <w:rFonts w:ascii="Times New Roman" w:hAnsi="Times New Roman" w:hint="eastAsia"/>
              </w:rPr>
              <w:t>能力</w:t>
            </w:r>
          </w:p>
        </w:tc>
        <w:tc>
          <w:tcPr>
            <w:tcW w:w="2849" w:type="dxa"/>
            <w:vAlign w:val="center"/>
          </w:tcPr>
          <w:p w14:paraId="37D3F06B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</w:tbl>
    <w:p w14:paraId="1834AB0C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（二）评定方法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</w:p>
    <w:p w14:paraId="3792A8A7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1</w:t>
      </w:r>
      <w:r w:rsidRPr="00F555A4">
        <w:rPr>
          <w:rFonts w:ascii="Times New Roman" w:eastAsia="宋体" w:hAnsi="Times New Roman" w:hint="eastAsia"/>
          <w:b/>
        </w:rPr>
        <w:t>．评定方法</w:t>
      </w:r>
      <w:r w:rsidRPr="00F555A4">
        <w:rPr>
          <w:rFonts w:ascii="Times New Roman" w:eastAsia="宋体" w:hAnsi="Times New Roman" w:hint="eastAsia"/>
          <w:b/>
        </w:rPr>
        <w:t xml:space="preserve"> </w:t>
      </w:r>
    </w:p>
    <w:p w14:paraId="105CD87A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采用形成性评价方式，关注学生课程目标达成情况，课程总成绩包括：（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）平时成绩（出席率、课堂表现、小组展示、课后反思）</w:t>
      </w:r>
      <w:r w:rsidRPr="00F555A4">
        <w:rPr>
          <w:rFonts w:ascii="Times New Roman" w:eastAsia="宋体" w:hAnsi="Times New Roman"/>
        </w:rPr>
        <w:t>20%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）期中考察（期中学习报告）</w:t>
      </w:r>
      <w:r w:rsidRPr="00F555A4">
        <w:rPr>
          <w:rFonts w:ascii="Times New Roman" w:eastAsia="宋体" w:hAnsi="Times New Roman"/>
        </w:rPr>
        <w:t>30%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3</w:t>
      </w:r>
      <w:r w:rsidRPr="00F555A4">
        <w:rPr>
          <w:rFonts w:ascii="Times New Roman" w:eastAsia="宋体" w:hAnsi="Times New Roman" w:hint="eastAsia"/>
        </w:rPr>
        <w:t>）期末考察（期末学习报告、课程反思）</w:t>
      </w:r>
      <w:r w:rsidRPr="00F555A4">
        <w:rPr>
          <w:rFonts w:ascii="Times New Roman" w:eastAsia="宋体" w:hAnsi="Times New Roman"/>
        </w:rPr>
        <w:t>50%</w:t>
      </w:r>
      <w:r w:rsidRPr="00F555A4">
        <w:rPr>
          <w:rFonts w:ascii="Times New Roman" w:eastAsia="宋体" w:hAnsi="Times New Roman" w:hint="eastAsia"/>
        </w:rPr>
        <w:t xml:space="preserve"> </w:t>
      </w:r>
      <w:r w:rsidRPr="00F555A4">
        <w:rPr>
          <w:rFonts w:ascii="Times New Roman" w:eastAsia="宋体" w:hAnsi="Times New Roman" w:hint="eastAsia"/>
        </w:rPr>
        <w:t>。</w:t>
      </w:r>
    </w:p>
    <w:p w14:paraId="54E97093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2</w:t>
      </w:r>
      <w:r w:rsidRPr="00F555A4">
        <w:rPr>
          <w:rFonts w:ascii="Times New Roman" w:eastAsia="宋体" w:hAnsi="Times New Roman" w:hint="eastAsia"/>
          <w:b/>
        </w:rPr>
        <w:t>．课程目标的考核占比与达成度分析</w:t>
      </w: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 w:hint="eastAsia"/>
        </w:rPr>
        <w:t>（五号宋体）</w:t>
      </w:r>
    </w:p>
    <w:p w14:paraId="1A909058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2"/>
        <w:jc w:val="center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lastRenderedPageBreak/>
        <w:t>表</w:t>
      </w:r>
      <w:r w:rsidRPr="00F555A4">
        <w:rPr>
          <w:rFonts w:ascii="Times New Roman" w:eastAsia="宋体" w:hAnsi="Times New Roman" w:hint="eastAsia"/>
          <w:b/>
        </w:rPr>
        <w:t>5</w:t>
      </w:r>
      <w:r w:rsidRPr="00F555A4">
        <w:rPr>
          <w:rFonts w:ascii="Times New Roman" w:eastAsia="宋体" w:hAnsi="Times New Roman" w:hint="eastAsia"/>
          <w:b/>
        </w:rPr>
        <w:t>：课程目标的考核占比与达成度分析表</w:t>
      </w:r>
      <w:r w:rsidRPr="00F555A4">
        <w:rPr>
          <w:rFonts w:ascii="Times New Roman" w:eastAsia="宋体" w:hAnsi="Times New Roman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5402F0" w:rsidRPr="00F555A4" w14:paraId="2CE21E6B" w14:textId="77777777" w:rsidTr="00F97F30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6FE4AC0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  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548665DD" w14:textId="77777777" w:rsidR="005402F0" w:rsidRPr="00F555A4" w:rsidRDefault="005402F0" w:rsidP="00F97F30">
            <w:pPr>
              <w:spacing w:beforeLines="50" w:before="156" w:afterLines="50" w:after="156"/>
              <w:ind w:firstLineChars="50" w:firstLine="105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2FEBF61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00BBE3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3134D08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309572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5402F0" w:rsidRPr="00F555A4" w14:paraId="78E902E7" w14:textId="77777777" w:rsidTr="00F97F3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9B5A6D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8CE7A3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48B58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5ED27B3F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4BCEF647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={0.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平时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成绩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期中成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5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期末成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}/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总分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。</w:t>
            </w:r>
          </w:p>
          <w:p w14:paraId="5DCAEC31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和目标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达成度按照上述方式计算</w:t>
            </w:r>
          </w:p>
          <w:p w14:paraId="4CD3EAF1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）课程目标达成度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=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</w:p>
        </w:tc>
      </w:tr>
      <w:tr w:rsidR="005402F0" w:rsidRPr="00F555A4" w14:paraId="1C14CE00" w14:textId="77777777" w:rsidTr="00F97F30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E215294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69B893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AE42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09706718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82FC7E8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402F0" w:rsidRPr="00F555A4" w14:paraId="09971825" w14:textId="77777777" w:rsidTr="00F97F3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2F8ABF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BEABCCB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997C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33218E95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2967AE51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</w:tbl>
    <w:p w14:paraId="0485F832" w14:textId="77777777" w:rsidR="005402F0" w:rsidRPr="00F555A4" w:rsidRDefault="005402F0" w:rsidP="005402F0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/>
          <w:b/>
        </w:rPr>
        <w:t xml:space="preserve">  3. </w:t>
      </w:r>
      <w:r w:rsidRPr="00F555A4">
        <w:rPr>
          <w:rFonts w:ascii="Times New Roman" w:eastAsia="宋体" w:hAnsi="Times New Roman" w:hint="eastAsia"/>
          <w:b/>
        </w:rPr>
        <w:t>课程目标达成度定性分析（文字描述）</w:t>
      </w:r>
    </w:p>
    <w:p w14:paraId="228F44D9" w14:textId="77777777" w:rsidR="005402F0" w:rsidRPr="00F555A4" w:rsidRDefault="005402F0" w:rsidP="005402F0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6D50F286" w14:textId="77777777" w:rsidR="005402F0" w:rsidRPr="00F555A4" w:rsidRDefault="005402F0" w:rsidP="005402F0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2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5574F9A3" w14:textId="77777777" w:rsidR="005402F0" w:rsidRPr="00F555A4" w:rsidRDefault="005402F0" w:rsidP="005402F0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0399BEE8" w14:textId="77777777" w:rsidR="005402F0" w:rsidRPr="00F555A4" w:rsidRDefault="005402F0" w:rsidP="005402F0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5402F0" w:rsidRPr="00F555A4" w14:paraId="40207026" w14:textId="77777777" w:rsidTr="00F97F30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D71D8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课程</w:t>
            </w:r>
          </w:p>
          <w:p w14:paraId="1C4541B7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6BF95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评分标准</w:t>
            </w:r>
          </w:p>
        </w:tc>
      </w:tr>
      <w:tr w:rsidR="005402F0" w:rsidRPr="00F555A4" w14:paraId="5ECD2752" w14:textId="77777777" w:rsidTr="00F97F30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B4469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4B7C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97A1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F58D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D1A7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CCAF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＜</w:t>
            </w: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6</w:t>
            </w: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0</w:t>
            </w:r>
          </w:p>
        </w:tc>
      </w:tr>
      <w:tr w:rsidR="005402F0" w:rsidRPr="00F555A4" w14:paraId="7D6AAAC6" w14:textId="77777777" w:rsidTr="00F97F30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A5525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5CE9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22D9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E41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E222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091E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不合格</w:t>
            </w:r>
          </w:p>
        </w:tc>
      </w:tr>
      <w:tr w:rsidR="005402F0" w:rsidRPr="00F555A4" w14:paraId="2BC02076" w14:textId="77777777" w:rsidTr="00F97F30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56D5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E83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7B93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919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29D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0595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F</w:t>
            </w:r>
          </w:p>
        </w:tc>
      </w:tr>
      <w:tr w:rsidR="005402F0" w:rsidRPr="00F555A4" w14:paraId="44F2288F" w14:textId="77777777" w:rsidTr="00F97F3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281C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0ED17A7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D4DD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4C19ED83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能够非常好地掌握</w:t>
            </w:r>
            <w:r>
              <w:rPr>
                <w:rFonts w:ascii="Times New Roman" w:eastAsia="宋体" w:hAnsi="Times New Roman" w:hint="eastAsia"/>
                <w:szCs w:val="21"/>
              </w:rPr>
              <w:t>代表性的日本文化</w:t>
            </w:r>
          </w:p>
          <w:p w14:paraId="19B9A285" w14:textId="34671018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7953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能够很好地理解文学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6AE710AF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能够很好地掌握</w:t>
            </w:r>
            <w:r>
              <w:rPr>
                <w:rFonts w:ascii="Times New Roman" w:eastAsia="宋体" w:hAnsi="Times New Roman" w:hint="eastAsia"/>
                <w:szCs w:val="21"/>
              </w:rPr>
              <w:t>代表性的日本文化</w:t>
            </w:r>
          </w:p>
          <w:p w14:paraId="3D77F7DF" w14:textId="3109EF14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F36A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74C2F555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能够较好地掌握</w:t>
            </w:r>
            <w:r>
              <w:rPr>
                <w:rFonts w:ascii="Times New Roman" w:eastAsia="宋体" w:hAnsi="Times New Roman" w:hint="eastAsia"/>
                <w:szCs w:val="21"/>
              </w:rPr>
              <w:t>代表性的日本文化</w:t>
            </w:r>
          </w:p>
          <w:p w14:paraId="764AB72F" w14:textId="4AE1AF73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能够基本理解跨文化交际的理论和方法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8946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7E391E5D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能够基本掌握</w:t>
            </w:r>
            <w:r>
              <w:rPr>
                <w:rFonts w:ascii="Times New Roman" w:eastAsia="宋体" w:hAnsi="Times New Roman" w:hint="eastAsia"/>
                <w:szCs w:val="21"/>
              </w:rPr>
              <w:t>代表性的日本文化</w:t>
            </w:r>
          </w:p>
          <w:p w14:paraId="704ED11D" w14:textId="645F408C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4524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509E3671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不能够掌握</w:t>
            </w:r>
            <w:r>
              <w:rPr>
                <w:rFonts w:ascii="Times New Roman" w:eastAsia="宋体" w:hAnsi="Times New Roman" w:hint="eastAsia"/>
                <w:szCs w:val="21"/>
              </w:rPr>
              <w:t>代表性的日本文化</w:t>
            </w:r>
          </w:p>
          <w:p w14:paraId="609B6803" w14:textId="5DD03EBD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  <w:lang w:val="en-GB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</w:tr>
      <w:tr w:rsidR="005402F0" w:rsidRPr="00F555A4" w14:paraId="68DFC032" w14:textId="77777777" w:rsidTr="00F97F3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DE41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0FD1118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960" w14:textId="19BF49B2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7DBF91AD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394496D4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1BF5" w14:textId="31CE2036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1D4C50C9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13C3ED23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2171" w14:textId="3675817C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1BA8E211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38F55CE0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7C8" w14:textId="69AC2673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能够基本掌握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5E15054B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基本能够运用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6778EC94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DDE8" w14:textId="0C4C0A35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不能够掌握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4605D596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不能够运用日语理论知识分析问题和解决问题的能力</w:t>
            </w:r>
          </w:p>
        </w:tc>
      </w:tr>
      <w:tr w:rsidR="005402F0" w:rsidRPr="00F555A4" w14:paraId="1DE22AF2" w14:textId="77777777" w:rsidTr="00F97F3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1CCC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A6A7C2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9BCF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</w:t>
            </w:r>
            <w:r>
              <w:rPr>
                <w:rFonts w:ascii="Times New Roman" w:hAnsi="Times New Roman" w:hint="eastAsia"/>
                <w:szCs w:val="21"/>
              </w:rPr>
              <w:t>进行跨文化交流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4856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</w:t>
            </w:r>
            <w:r>
              <w:rPr>
                <w:rFonts w:ascii="Times New Roman" w:hAnsi="Times New Roman" w:hint="eastAsia"/>
                <w:szCs w:val="21"/>
              </w:rPr>
              <w:t>进行跨文化交流</w:t>
            </w:r>
          </w:p>
          <w:p w14:paraId="70DFFA0F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0417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能够较好地运用日语理论知识进行跨文化交流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BCE6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基本能够运用日语理论知识进行跨文化交流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9586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不能够运用日语理论知识进行跨文化交流</w:t>
            </w:r>
          </w:p>
        </w:tc>
      </w:tr>
    </w:tbl>
    <w:p w14:paraId="6B8A2BE4" w14:textId="77777777" w:rsidR="000948A6" w:rsidRPr="005402F0" w:rsidRDefault="000948A6" w:rsidP="005402F0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szCs w:val="21"/>
        </w:rPr>
      </w:pPr>
    </w:p>
    <w:p w14:paraId="01E04070" w14:textId="0EE29B3F" w:rsidR="00F867AF" w:rsidRPr="004973D2" w:rsidRDefault="00484D96" w:rsidP="00F867AF">
      <w:pPr>
        <w:widowControl/>
        <w:spacing w:beforeLines="50" w:before="156" w:afterLines="50" w:after="156"/>
        <w:ind w:firstLineChars="200" w:firstLine="562"/>
        <w:jc w:val="left"/>
        <w:rPr>
          <w:rFonts w:eastAsia="MS Mincho"/>
        </w:rPr>
      </w:pPr>
      <w:r>
        <w:rPr>
          <w:rFonts w:ascii="黑体" w:eastAsia="黑体" w:hAnsi="黑体" w:hint="eastAsia"/>
          <w:b/>
          <w:sz w:val="28"/>
          <w:szCs w:val="28"/>
        </w:rPr>
        <w:t>八</w:t>
      </w:r>
      <w:r w:rsidR="00F867AF" w:rsidRPr="00BA23F0">
        <w:rPr>
          <w:rFonts w:ascii="黑体" w:eastAsia="黑体" w:hAnsi="黑体" w:hint="eastAsia"/>
          <w:b/>
          <w:sz w:val="28"/>
          <w:szCs w:val="28"/>
        </w:rPr>
        <w:t>、参考书目</w:t>
      </w:r>
    </w:p>
    <w:p w14:paraId="7903B39D" w14:textId="51B231BB" w:rsidR="00E70EEB" w:rsidRPr="00E70EEB" w:rsidRDefault="00E70EEB" w:rsidP="005C1E38">
      <w:pPr>
        <w:adjustRightInd w:val="0"/>
        <w:snapToGrid w:val="0"/>
        <w:rPr>
          <w:rFonts w:ascii="Times New Roman" w:eastAsia="宋体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[1]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r w:rsidRPr="00835629">
        <w:rPr>
          <w:rFonts w:ascii="Times New Roman" w:eastAsia="MS Mincho" w:hAnsi="Times New Roman"/>
          <w:szCs w:val="21"/>
          <w:lang w:eastAsia="ja-JP"/>
        </w:rPr>
        <w:t>西田ひろ子（</w:t>
      </w:r>
      <w:r w:rsidRPr="00835629">
        <w:rPr>
          <w:rFonts w:ascii="Times New Roman" w:eastAsia="MS Mincho" w:hAnsi="Times New Roman"/>
          <w:szCs w:val="21"/>
          <w:lang w:eastAsia="ja-JP"/>
        </w:rPr>
        <w:t>1980</w:t>
      </w:r>
      <w:r w:rsidRPr="00835629">
        <w:rPr>
          <w:rFonts w:ascii="Times New Roman" w:eastAsia="MS Mincho" w:hAnsi="Times New Roman"/>
          <w:szCs w:val="21"/>
          <w:lang w:eastAsia="ja-JP"/>
        </w:rPr>
        <w:t>）『日米コミュニケーション・ギャップ』大修館書店</w:t>
      </w:r>
    </w:p>
    <w:p w14:paraId="1E0E9908" w14:textId="4FAD5553" w:rsidR="00E70EEB" w:rsidRPr="00835629" w:rsidRDefault="00E70EEB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[2]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ネウストプニー，</w:t>
      </w:r>
      <w:r w:rsidR="00B82CED">
        <w:rPr>
          <w:rFonts w:ascii="Times New Roman" w:eastAsia="MS Mincho" w:hAnsi="Times New Roman" w:hint="eastAsia"/>
          <w:szCs w:val="21"/>
          <w:lang w:eastAsia="ja-JP"/>
        </w:rPr>
        <w:t>J.V.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（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1982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）『外国人とのコミュニケーション』岩波書店</w:t>
      </w:r>
    </w:p>
    <w:p w14:paraId="31117949" w14:textId="13F14E42" w:rsidR="00E70EEB" w:rsidRPr="00835629" w:rsidRDefault="00E70EEB" w:rsidP="00852A77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[3]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井上雍雄（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1990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）『日本人の常識と社交性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―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外国人とのコミュニケーションを良くするためにー』創芸社</w:t>
      </w:r>
    </w:p>
    <w:p w14:paraId="1102DE62" w14:textId="79B6DE0F" w:rsidR="005C1E38" w:rsidRDefault="00E70EEB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bookmarkStart w:id="3" w:name="_Hlk123910910"/>
      <w:r w:rsidRPr="00E70EEB">
        <w:rPr>
          <w:rFonts w:ascii="Times New Roman" w:eastAsia="宋体" w:hAnsi="Times New Roman"/>
          <w:szCs w:val="21"/>
          <w:lang w:eastAsia="ja-JP"/>
        </w:rPr>
        <w:t>[4]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bookmarkEnd w:id="3"/>
      <w:r w:rsidR="005C1E38" w:rsidRPr="00835629">
        <w:rPr>
          <w:rFonts w:ascii="Times New Roman" w:eastAsia="MS Mincho" w:hAnsi="Times New Roman"/>
          <w:szCs w:val="21"/>
          <w:lang w:eastAsia="ja-JP"/>
        </w:rPr>
        <w:t>文化庁『異文化理解のための日本語教育』（</w:t>
      </w:r>
      <w:r w:rsidR="005C1E38" w:rsidRPr="00835629">
        <w:rPr>
          <w:rFonts w:ascii="Times New Roman" w:eastAsia="MS Mincho" w:hAnsi="Times New Roman"/>
          <w:szCs w:val="21"/>
          <w:lang w:eastAsia="ja-JP"/>
        </w:rPr>
        <w:t>1994</w:t>
      </w:r>
      <w:r w:rsidR="005C1E38" w:rsidRPr="00835629">
        <w:rPr>
          <w:rFonts w:ascii="Times New Roman" w:eastAsia="MS Mincho" w:hAnsi="Times New Roman"/>
          <w:szCs w:val="21"/>
          <w:lang w:eastAsia="ja-JP"/>
        </w:rPr>
        <w:t>）文化庁文化部国語課</w:t>
      </w:r>
    </w:p>
    <w:p w14:paraId="7771CC53" w14:textId="11EE8BA0" w:rsidR="005C1E38" w:rsidRDefault="005C1E38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5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r w:rsidRPr="00835629">
        <w:rPr>
          <w:rFonts w:ascii="Times New Roman" w:eastAsia="MS Mincho" w:hAnsi="Times New Roman"/>
          <w:szCs w:val="21"/>
          <w:lang w:eastAsia="ja-JP"/>
        </w:rPr>
        <w:t>西田司著（</w:t>
      </w:r>
      <w:r w:rsidRPr="00835629">
        <w:rPr>
          <w:rFonts w:ascii="Times New Roman" w:eastAsia="MS Mincho" w:hAnsi="Times New Roman"/>
          <w:szCs w:val="21"/>
          <w:lang w:eastAsia="ja-JP"/>
        </w:rPr>
        <w:t>1994</w:t>
      </w:r>
      <w:r w:rsidRPr="00835629">
        <w:rPr>
          <w:rFonts w:ascii="Times New Roman" w:eastAsia="MS Mincho" w:hAnsi="Times New Roman"/>
          <w:szCs w:val="21"/>
          <w:lang w:eastAsia="ja-JP"/>
        </w:rPr>
        <w:t>）『異文化と人間行動の分析』多賀出版</w:t>
      </w:r>
    </w:p>
    <w:p w14:paraId="0CEC2555" w14:textId="0C81FC53" w:rsidR="00B82CED" w:rsidRPr="00B82CED" w:rsidRDefault="005C1E38" w:rsidP="00852A77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6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角田三枝（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2001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）『日本語クラスの異文化理解－日本語教育の新たな視点』大修館書店</w:t>
      </w:r>
    </w:p>
    <w:p w14:paraId="0666B3E6" w14:textId="517E46DC" w:rsidR="00E70EEB" w:rsidRPr="00835629" w:rsidRDefault="005C1E38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7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r w:rsidR="00E70EEB" w:rsidRPr="00835629">
        <w:rPr>
          <w:rFonts w:ascii="Times New Roman" w:eastAsia="MS Mincho" w:hAnsi="Times New Roman"/>
          <w:szCs w:val="21"/>
          <w:lang w:eastAsia="ja-JP"/>
        </w:rPr>
        <w:t>多田洋子（</w:t>
      </w:r>
      <w:r w:rsidR="00E70EEB" w:rsidRPr="00835629">
        <w:rPr>
          <w:rFonts w:ascii="Times New Roman" w:eastAsia="MS Mincho" w:hAnsi="Times New Roman"/>
          <w:szCs w:val="21"/>
          <w:lang w:eastAsia="ja-JP"/>
        </w:rPr>
        <w:t>2001</w:t>
      </w:r>
      <w:r w:rsidR="00E70EEB" w:rsidRPr="00835629">
        <w:rPr>
          <w:rFonts w:ascii="Times New Roman" w:eastAsia="MS Mincho" w:hAnsi="Times New Roman"/>
          <w:szCs w:val="21"/>
          <w:lang w:eastAsia="ja-JP"/>
        </w:rPr>
        <w:t>）「外国人留学生のカルチャーショック」異文化接触論『日本語教育シリーズ』第一巻</w:t>
      </w:r>
    </w:p>
    <w:p w14:paraId="561DA1DE" w14:textId="380C3AFD" w:rsidR="00B82CED" w:rsidRPr="00B82CED" w:rsidRDefault="005C1E38" w:rsidP="00852A77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bookmarkStart w:id="4" w:name="_Hlk123911184"/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8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bookmarkEnd w:id="4"/>
      <w:r w:rsidR="00B82CED" w:rsidRPr="00B82CED">
        <w:rPr>
          <w:rFonts w:ascii="Times New Roman" w:eastAsia="MS Mincho" w:hAnsi="Times New Roman"/>
          <w:szCs w:val="21"/>
          <w:lang w:eastAsia="ja-JP"/>
        </w:rPr>
        <w:t>浅羽亮一監修（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2004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）『異文化理論の語用論』（ヘレン・スペンサー＝オーテイー著）研究社</w:t>
      </w:r>
    </w:p>
    <w:p w14:paraId="1D2DCF46" w14:textId="1EA12127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9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胡文仲（</w:t>
      </w:r>
      <w:r w:rsidRPr="005C1E38">
        <w:rPr>
          <w:rFonts w:ascii="Times New Roman" w:eastAsia="宋体" w:hAnsi="Times New Roman"/>
          <w:szCs w:val="21"/>
          <w:lang w:eastAsia="zh-CN"/>
        </w:rPr>
        <w:t>1994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文化与交际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>外语教学与研究出版社</w:t>
      </w:r>
    </w:p>
    <w:p w14:paraId="46F172D7" w14:textId="49910864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bookmarkStart w:id="5" w:name="_Hlk123911223"/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10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bookmarkEnd w:id="5"/>
      <w:r w:rsidRPr="005C1E38">
        <w:rPr>
          <w:rFonts w:ascii="Times New Roman" w:eastAsia="宋体" w:hAnsi="Times New Roman"/>
          <w:szCs w:val="21"/>
          <w:lang w:eastAsia="zh-CN"/>
        </w:rPr>
        <w:t>关世杰（</w:t>
      </w:r>
      <w:r w:rsidRPr="005C1E38">
        <w:rPr>
          <w:rFonts w:ascii="Times New Roman" w:eastAsia="宋体" w:hAnsi="Times New Roman"/>
          <w:szCs w:val="21"/>
          <w:lang w:eastAsia="zh-CN"/>
        </w:rPr>
        <w:t>1995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跨文化交流学</w:t>
      </w:r>
      <w:r w:rsidRPr="005C1E38">
        <w:rPr>
          <w:rFonts w:ascii="Times New Roman" w:eastAsia="宋体" w:hAnsi="Times New Roman"/>
          <w:szCs w:val="21"/>
          <w:lang w:eastAsia="zh-CN"/>
        </w:rPr>
        <w:t>—</w:t>
      </w:r>
      <w:r w:rsidRPr="005C1E38">
        <w:rPr>
          <w:rFonts w:ascii="Times New Roman" w:eastAsia="宋体" w:hAnsi="Times New Roman"/>
          <w:szCs w:val="21"/>
          <w:lang w:eastAsia="zh-CN"/>
        </w:rPr>
        <w:t>提高涉外交流能力的学问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北京大学出版社</w:t>
      </w:r>
    </w:p>
    <w:p w14:paraId="307DF211" w14:textId="56C8C72D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11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林大津（</w:t>
      </w:r>
      <w:r w:rsidRPr="005C1E38">
        <w:rPr>
          <w:rFonts w:ascii="Times New Roman" w:eastAsia="宋体" w:hAnsi="Times New Roman"/>
          <w:szCs w:val="21"/>
          <w:lang w:eastAsia="zh-CN"/>
        </w:rPr>
        <w:t>1996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跨文化交际研究</w:t>
      </w:r>
      <w:r w:rsidRPr="005C1E38">
        <w:rPr>
          <w:rFonts w:ascii="Times New Roman" w:eastAsia="宋体" w:hAnsi="Times New Roman"/>
          <w:szCs w:val="21"/>
          <w:lang w:eastAsia="zh-CN"/>
        </w:rPr>
        <w:t>—</w:t>
      </w:r>
      <w:r w:rsidRPr="005C1E38">
        <w:rPr>
          <w:rFonts w:ascii="Times New Roman" w:eastAsia="宋体" w:hAnsi="Times New Roman"/>
          <w:szCs w:val="21"/>
          <w:lang w:eastAsia="zh-CN"/>
        </w:rPr>
        <w:t>与英美人交往指南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福建人民出版社</w:t>
      </w:r>
    </w:p>
    <w:p w14:paraId="77D9C3FC" w14:textId="32F7C01C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12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贾玉新（</w:t>
      </w:r>
      <w:r w:rsidRPr="005C1E38">
        <w:rPr>
          <w:rFonts w:ascii="Times New Roman" w:eastAsia="宋体" w:hAnsi="Times New Roman"/>
          <w:szCs w:val="21"/>
          <w:lang w:eastAsia="zh-CN"/>
        </w:rPr>
        <w:t>1997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跨文化交际学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>上海外语教育出版社</w:t>
      </w:r>
    </w:p>
    <w:p w14:paraId="5137269D" w14:textId="6C2B2654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13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毕继万（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跨文化非语言交际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北京外语教学与研究出版社</w:t>
      </w:r>
    </w:p>
    <w:p w14:paraId="64ACB192" w14:textId="1AD02E15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lastRenderedPageBreak/>
        <w:t>[</w:t>
      </w:r>
      <w:r>
        <w:rPr>
          <w:rFonts w:ascii="Times New Roman" w:eastAsia="宋体" w:hAnsi="Times New Roman"/>
          <w:szCs w:val="21"/>
          <w:lang w:eastAsia="zh-CN"/>
        </w:rPr>
        <w:t>14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陈俊森主编（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外国文化与跨文化交际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华中理工大学出版社</w:t>
      </w:r>
    </w:p>
    <w:p w14:paraId="26792E51" w14:textId="3A4BFC58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15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梁镛主编（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跨文化的外语教学与研究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>上海外语教育出版社</w:t>
      </w:r>
    </w:p>
    <w:p w14:paraId="2C3C8456" w14:textId="3E6D31AD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16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汪福祥编著（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文化撞击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石油工业出版社</w:t>
      </w:r>
    </w:p>
    <w:p w14:paraId="13B70F35" w14:textId="2E2DD5AB" w:rsidR="005C1E38" w:rsidRP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17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高一虹（</w:t>
      </w:r>
      <w:r w:rsidRPr="005C1E38">
        <w:rPr>
          <w:rFonts w:ascii="Times New Roman" w:eastAsia="宋体" w:hAnsi="Times New Roman"/>
          <w:szCs w:val="21"/>
          <w:lang w:eastAsia="zh-CN"/>
        </w:rPr>
        <w:t>2000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语言文化差异的认识与超越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外语教学与研究出版社</w:t>
      </w:r>
    </w:p>
    <w:p w14:paraId="576C2A81" w14:textId="77777777" w:rsidR="00063448" w:rsidRDefault="00063448" w:rsidP="00063448">
      <w:pPr>
        <w:adjustRightInd w:val="0"/>
        <w:snapToGrid w:val="0"/>
        <w:jc w:val="right"/>
        <w:rPr>
          <w:rFonts w:ascii="Times New Roman" w:eastAsia="宋体" w:hAnsi="Times New Roman"/>
          <w:kern w:val="0"/>
          <w:szCs w:val="21"/>
        </w:rPr>
      </w:pPr>
    </w:p>
    <w:p w14:paraId="1261D224" w14:textId="77777777" w:rsidR="00063448" w:rsidRDefault="00063448" w:rsidP="00063448">
      <w:pPr>
        <w:adjustRightInd w:val="0"/>
        <w:snapToGrid w:val="0"/>
        <w:jc w:val="right"/>
        <w:rPr>
          <w:rFonts w:ascii="Times New Roman" w:eastAsia="宋体" w:hAnsi="Times New Roman"/>
          <w:kern w:val="0"/>
          <w:szCs w:val="21"/>
        </w:rPr>
      </w:pPr>
    </w:p>
    <w:p w14:paraId="69A40D7D" w14:textId="25319F36" w:rsidR="00063448" w:rsidRPr="00357363" w:rsidRDefault="00063448" w:rsidP="000D2805">
      <w:pPr>
        <w:wordWrap w:val="0"/>
        <w:adjustRightInd w:val="0"/>
        <w:snapToGrid w:val="0"/>
        <w:jc w:val="right"/>
        <w:rPr>
          <w:rFonts w:ascii="Times New Roman" w:eastAsia="宋体" w:hAnsi="Times New Roman"/>
          <w:szCs w:val="21"/>
        </w:rPr>
      </w:pPr>
      <w:r w:rsidRPr="00357363">
        <w:rPr>
          <w:rFonts w:ascii="Times New Roman" w:eastAsia="宋体" w:hAnsi="Times New Roman"/>
          <w:kern w:val="0"/>
          <w:szCs w:val="21"/>
        </w:rPr>
        <w:t>执笔人：</w:t>
      </w:r>
      <w:r w:rsidRPr="00E70EEB">
        <w:rPr>
          <w:rFonts w:ascii="Times New Roman" w:eastAsia="宋体" w:hAnsi="Times New Roman"/>
          <w:szCs w:val="21"/>
        </w:rPr>
        <w:t>施晖</w:t>
      </w:r>
      <w:r w:rsidR="000D2805">
        <w:rPr>
          <w:rFonts w:ascii="Times New Roman" w:eastAsia="宋体" w:hAnsi="Times New Roman" w:hint="eastAsia"/>
          <w:szCs w:val="21"/>
        </w:rPr>
        <w:t xml:space="preserve"> </w:t>
      </w:r>
      <w:r w:rsidR="000D2805">
        <w:rPr>
          <w:rFonts w:ascii="Times New Roman" w:eastAsia="宋体" w:hAnsi="Times New Roman" w:hint="eastAsia"/>
          <w:szCs w:val="21"/>
        </w:rPr>
        <w:t>宗聪</w:t>
      </w:r>
    </w:p>
    <w:p w14:paraId="55A65537" w14:textId="6862F322" w:rsidR="00063448" w:rsidRPr="00A642F6" w:rsidRDefault="00063448" w:rsidP="00063448">
      <w:pPr>
        <w:autoSpaceDE w:val="0"/>
        <w:autoSpaceDN w:val="0"/>
        <w:adjustRightInd w:val="0"/>
        <w:snapToGrid w:val="0"/>
        <w:jc w:val="right"/>
        <w:rPr>
          <w:rFonts w:ascii="Times New Roman" w:eastAsia="宋体" w:hAnsi="Times New Roman"/>
          <w:kern w:val="0"/>
          <w:szCs w:val="21"/>
        </w:rPr>
      </w:pPr>
      <w:r w:rsidRPr="00A642F6">
        <w:rPr>
          <w:rFonts w:ascii="Times New Roman" w:eastAsia="宋体" w:hAnsi="Times New Roman"/>
          <w:kern w:val="0"/>
          <w:szCs w:val="21"/>
        </w:rPr>
        <w:t xml:space="preserve">                          202</w:t>
      </w:r>
      <w:r w:rsidR="005402F0">
        <w:rPr>
          <w:rFonts w:ascii="Times New Roman" w:eastAsia="宋体" w:hAnsi="Times New Roman"/>
          <w:kern w:val="0"/>
          <w:szCs w:val="21"/>
        </w:rPr>
        <w:t>5</w:t>
      </w:r>
      <w:r w:rsidRPr="00A642F6">
        <w:rPr>
          <w:rFonts w:ascii="Times New Roman" w:eastAsia="宋体" w:hAnsi="Times New Roman"/>
          <w:kern w:val="0"/>
          <w:szCs w:val="21"/>
        </w:rPr>
        <w:t>年</w:t>
      </w:r>
      <w:r w:rsidRPr="00A642F6">
        <w:rPr>
          <w:rFonts w:ascii="Times New Roman" w:eastAsia="宋体" w:hAnsi="Times New Roman"/>
          <w:kern w:val="0"/>
          <w:szCs w:val="21"/>
          <w:u w:val="single"/>
        </w:rPr>
        <w:t xml:space="preserve"> 0</w:t>
      </w:r>
      <w:r w:rsidR="005402F0">
        <w:rPr>
          <w:rFonts w:ascii="Times New Roman" w:eastAsia="宋体" w:hAnsi="Times New Roman"/>
          <w:kern w:val="0"/>
          <w:szCs w:val="21"/>
          <w:u w:val="single"/>
        </w:rPr>
        <w:t>3</w:t>
      </w:r>
      <w:r w:rsidR="002043B8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Pr="00A642F6">
        <w:rPr>
          <w:rFonts w:ascii="Times New Roman" w:eastAsia="宋体" w:hAnsi="Times New Roman"/>
          <w:kern w:val="0"/>
          <w:szCs w:val="21"/>
        </w:rPr>
        <w:t>月</w:t>
      </w:r>
      <w:r w:rsidRPr="00A642F6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="005402F0">
        <w:rPr>
          <w:rFonts w:ascii="Times New Roman" w:eastAsia="宋体" w:hAnsi="Times New Roman"/>
          <w:kern w:val="0"/>
          <w:szCs w:val="21"/>
          <w:u w:val="single"/>
        </w:rPr>
        <w:t>24</w:t>
      </w:r>
      <w:r w:rsidRPr="00A642F6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Pr="00A642F6">
        <w:rPr>
          <w:rFonts w:ascii="Times New Roman" w:eastAsia="宋体" w:hAnsi="Times New Roman"/>
          <w:kern w:val="0"/>
          <w:szCs w:val="21"/>
        </w:rPr>
        <w:t>日</w:t>
      </w:r>
      <w:r w:rsidRPr="00A642F6">
        <w:rPr>
          <w:rFonts w:ascii="Times New Roman" w:eastAsia="宋体" w:hAnsi="Times New Roman"/>
          <w:kern w:val="0"/>
          <w:szCs w:val="21"/>
        </w:rPr>
        <w:t xml:space="preserve"> </w:t>
      </w:r>
    </w:p>
    <w:p w14:paraId="4BE6E960" w14:textId="77777777" w:rsidR="00E70EEB" w:rsidRPr="00063448" w:rsidRDefault="00E70EEB" w:rsidP="00E70EEB">
      <w:pPr>
        <w:adjustRightInd w:val="0"/>
        <w:snapToGrid w:val="0"/>
        <w:rPr>
          <w:rFonts w:ascii="Times New Roman" w:eastAsia="宋体" w:hAnsi="Times New Roman"/>
          <w:szCs w:val="21"/>
        </w:rPr>
      </w:pPr>
    </w:p>
    <w:sectPr w:rsidR="00E70EEB" w:rsidRPr="00063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3142B" w14:textId="77777777" w:rsidR="00F763E6" w:rsidRDefault="00F763E6" w:rsidP="00E70EEB">
      <w:r>
        <w:separator/>
      </w:r>
    </w:p>
  </w:endnote>
  <w:endnote w:type="continuationSeparator" w:id="0">
    <w:p w14:paraId="437F3FCF" w14:textId="77777777" w:rsidR="00F763E6" w:rsidRDefault="00F763E6" w:rsidP="00E7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F0E3C" w14:textId="77777777" w:rsidR="00F763E6" w:rsidRDefault="00F763E6" w:rsidP="00E70EEB">
      <w:r>
        <w:separator/>
      </w:r>
    </w:p>
  </w:footnote>
  <w:footnote w:type="continuationSeparator" w:id="0">
    <w:p w14:paraId="66B8C5C7" w14:textId="77777777" w:rsidR="00F763E6" w:rsidRDefault="00F763E6" w:rsidP="00E70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34C4A"/>
    <w:multiLevelType w:val="multilevel"/>
    <w:tmpl w:val="F5FA3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A514B"/>
    <w:multiLevelType w:val="multilevel"/>
    <w:tmpl w:val="9D44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（%2）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9412E"/>
    <w:multiLevelType w:val="multilevel"/>
    <w:tmpl w:val="610C8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493C51"/>
    <w:multiLevelType w:val="multilevel"/>
    <w:tmpl w:val="3F16A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55D8F"/>
    <w:multiLevelType w:val="multilevel"/>
    <w:tmpl w:val="8BE0B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（%3）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5828CB"/>
    <w:multiLevelType w:val="multilevel"/>
    <w:tmpl w:val="5BD4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D7E"/>
    <w:rsid w:val="00002A87"/>
    <w:rsid w:val="000325D4"/>
    <w:rsid w:val="00063448"/>
    <w:rsid w:val="000948A6"/>
    <w:rsid w:val="000D2805"/>
    <w:rsid w:val="000E1EB9"/>
    <w:rsid w:val="001106F0"/>
    <w:rsid w:val="00123DF5"/>
    <w:rsid w:val="00137788"/>
    <w:rsid w:val="001D5EC9"/>
    <w:rsid w:val="002043B8"/>
    <w:rsid w:val="0023758C"/>
    <w:rsid w:val="002B3784"/>
    <w:rsid w:val="002D4D7C"/>
    <w:rsid w:val="0030672F"/>
    <w:rsid w:val="00484D96"/>
    <w:rsid w:val="005402F0"/>
    <w:rsid w:val="00545204"/>
    <w:rsid w:val="005A2D27"/>
    <w:rsid w:val="005C1E38"/>
    <w:rsid w:val="005C4D13"/>
    <w:rsid w:val="00636336"/>
    <w:rsid w:val="00656CA4"/>
    <w:rsid w:val="00662613"/>
    <w:rsid w:val="006D45CE"/>
    <w:rsid w:val="006F61E7"/>
    <w:rsid w:val="007275B7"/>
    <w:rsid w:val="007558D4"/>
    <w:rsid w:val="00791F28"/>
    <w:rsid w:val="007A4B66"/>
    <w:rsid w:val="00810ADB"/>
    <w:rsid w:val="008278BF"/>
    <w:rsid w:val="00835629"/>
    <w:rsid w:val="00852A77"/>
    <w:rsid w:val="008B54D6"/>
    <w:rsid w:val="008D0E15"/>
    <w:rsid w:val="008D5058"/>
    <w:rsid w:val="009426C1"/>
    <w:rsid w:val="00975E43"/>
    <w:rsid w:val="009A69A2"/>
    <w:rsid w:val="00A54E5D"/>
    <w:rsid w:val="00A70D7E"/>
    <w:rsid w:val="00A91AA0"/>
    <w:rsid w:val="00AD6E91"/>
    <w:rsid w:val="00B00983"/>
    <w:rsid w:val="00B01E71"/>
    <w:rsid w:val="00B029F3"/>
    <w:rsid w:val="00B11BBC"/>
    <w:rsid w:val="00B13DBA"/>
    <w:rsid w:val="00B33568"/>
    <w:rsid w:val="00B4129B"/>
    <w:rsid w:val="00B82CED"/>
    <w:rsid w:val="00B900B5"/>
    <w:rsid w:val="00BA2B59"/>
    <w:rsid w:val="00BF01C7"/>
    <w:rsid w:val="00C81CB8"/>
    <w:rsid w:val="00CE1C26"/>
    <w:rsid w:val="00CF3B41"/>
    <w:rsid w:val="00D046C2"/>
    <w:rsid w:val="00D20938"/>
    <w:rsid w:val="00D24644"/>
    <w:rsid w:val="00D3034B"/>
    <w:rsid w:val="00D61BDC"/>
    <w:rsid w:val="00D73780"/>
    <w:rsid w:val="00D8771F"/>
    <w:rsid w:val="00E513C3"/>
    <w:rsid w:val="00E51E87"/>
    <w:rsid w:val="00E54724"/>
    <w:rsid w:val="00E64A2C"/>
    <w:rsid w:val="00E70EEB"/>
    <w:rsid w:val="00E940A2"/>
    <w:rsid w:val="00EB6DEF"/>
    <w:rsid w:val="00EC76AE"/>
    <w:rsid w:val="00EF75BC"/>
    <w:rsid w:val="00F26834"/>
    <w:rsid w:val="00F42B72"/>
    <w:rsid w:val="00F763E6"/>
    <w:rsid w:val="00F8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5ED09"/>
  <w15:chartTrackingRefBased/>
  <w15:docId w15:val="{F829B7A6-FD83-49F6-9638-7AEBAF8D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5D4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0E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0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0EE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70EE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70EEB"/>
    <w:rPr>
      <w:sz w:val="18"/>
      <w:szCs w:val="18"/>
    </w:rPr>
  </w:style>
  <w:style w:type="table" w:styleId="a9">
    <w:name w:val="Table Grid"/>
    <w:basedOn w:val="a1"/>
    <w:uiPriority w:val="39"/>
    <w:rsid w:val="00810ADB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10ADB"/>
    <w:pPr>
      <w:ind w:firstLineChars="200" w:firstLine="420"/>
    </w:pPr>
    <w:rPr>
      <w:rFonts w:cstheme="minorBidi"/>
    </w:rPr>
  </w:style>
  <w:style w:type="paragraph" w:styleId="ab">
    <w:name w:val="footnote text"/>
    <w:basedOn w:val="a"/>
    <w:link w:val="ac"/>
    <w:semiHidden/>
    <w:rsid w:val="005C1E38"/>
    <w:pPr>
      <w:snapToGrid w:val="0"/>
      <w:jc w:val="left"/>
    </w:pPr>
    <w:rPr>
      <w:rFonts w:ascii="Century" w:eastAsia="MS Mincho" w:hAnsi="Century"/>
      <w:szCs w:val="20"/>
      <w:lang w:eastAsia="ja-JP"/>
    </w:rPr>
  </w:style>
  <w:style w:type="character" w:customStyle="1" w:styleId="ac">
    <w:name w:val="脚注文本 字符"/>
    <w:basedOn w:val="a0"/>
    <w:link w:val="ab"/>
    <w:semiHidden/>
    <w:rsid w:val="005C1E38"/>
    <w:rPr>
      <w:rFonts w:ascii="Century" w:eastAsia="MS Mincho" w:hAnsi="Century"/>
      <w:szCs w:val="20"/>
      <w:lang w:eastAsia="ja-JP"/>
    </w:rPr>
  </w:style>
  <w:style w:type="paragraph" w:styleId="ad">
    <w:name w:val="Plain Text"/>
    <w:basedOn w:val="a"/>
    <w:link w:val="ae"/>
    <w:uiPriority w:val="99"/>
    <w:qFormat/>
    <w:rsid w:val="00545204"/>
    <w:rPr>
      <w:rFonts w:ascii="宋体" w:eastAsia="宋体" w:hAnsi="Courier New"/>
      <w:szCs w:val="20"/>
    </w:rPr>
  </w:style>
  <w:style w:type="character" w:customStyle="1" w:styleId="ae">
    <w:name w:val="纯文本 字符"/>
    <w:basedOn w:val="a0"/>
    <w:link w:val="ad"/>
    <w:uiPriority w:val="99"/>
    <w:rsid w:val="00545204"/>
    <w:rPr>
      <w:rFonts w:ascii="宋体" w:eastAsia="宋体" w:hAnsi="Courier New"/>
      <w:szCs w:val="20"/>
    </w:rPr>
  </w:style>
  <w:style w:type="paragraph" w:styleId="af">
    <w:name w:val="Normal (Web)"/>
    <w:basedOn w:val="a"/>
    <w:uiPriority w:val="99"/>
    <w:unhideWhenUsed/>
    <w:rsid w:val="00E513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0">
    <w:name w:val="Strong"/>
    <w:basedOn w:val="a0"/>
    <w:uiPriority w:val="22"/>
    <w:qFormat/>
    <w:rsid w:val="00E513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yu</dc:creator>
  <cp:keywords/>
  <dc:description/>
  <cp:lastModifiedBy>hui</cp:lastModifiedBy>
  <cp:revision>3</cp:revision>
  <dcterms:created xsi:type="dcterms:W3CDTF">2025-03-25T07:58:00Z</dcterms:created>
  <dcterms:modified xsi:type="dcterms:W3CDTF">2025-03-25T08:06:00Z</dcterms:modified>
</cp:coreProperties>
</file>