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《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Hans"/>
        </w:rPr>
        <w:t>高级笔译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》课程教学大纲</w:t>
      </w:r>
    </w:p>
    <w:p>
      <w:pPr>
        <w:pStyle w:val="3"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一、课程基本信息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  <w:lang w:val="en-GB"/>
              </w:rPr>
              <w:t>A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</w:rPr>
              <w:t xml:space="preserve">dvanced Chinese-English 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  <w:lang w:val="en-GB"/>
              </w:rPr>
              <w:t>Translation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4"/>
                <w:szCs w:val="24"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</w:rPr>
              <w:t>TRANS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</w:rPr>
              <w:t>30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sz w:val="24"/>
                <w:szCs w:val="24"/>
              </w:rPr>
              <w:t>07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翻译专业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陈大亮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GB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理解当代中国高级汉英笔译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教程》</w:t>
            </w:r>
          </w:p>
        </w:tc>
      </w:tr>
    </w:tbl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b/>
          <w:sz w:val="24"/>
          <w:szCs w:val="24"/>
        </w:rPr>
        <w:t>总体目标：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本课程的教学目标是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培养学生用英语讲好习近平新时代中国特色社会主义思想、中国文化、中国故事的能力，提升学生的跨文化交际能力、汉英翻译能力、国际传播能力，成为有家国情怀、有全球视野、有专业本领的高素质国际化翻译人才。</w:t>
      </w:r>
    </w:p>
    <w:p>
      <w:pPr>
        <w:pStyle w:val="3"/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（二）课程目标：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课程目标1：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  <w:t>准确理解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习近平新时代中国特色社会主义思想的精髓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用英语讲好这方面的专业知识</w:t>
      </w:r>
    </w:p>
    <w:p>
      <w:pPr>
        <w:snapToGrid w:val="0"/>
        <w:spacing w:before="156" w:beforeLines="50" w:after="156" w:afterLines="50"/>
        <w:ind w:firstLine="484" w:firstLineChars="20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课程目标2：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  <w:t>熟练掌握中国文化知识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  <w:t>培养学生的跨文化交际能力和汉英翻译能力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课程目标3：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  <w:t>培养学生用英语讲好中国故事的能力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Hans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Hans"/>
        </w:rPr>
        <w:t>培养学生的国际传播能力</w:t>
      </w:r>
    </w:p>
    <w:p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80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表1：课程目标与课程内容、毕业要求的对应关系表</w:t>
      </w:r>
    </w:p>
    <w:tbl>
      <w:tblPr>
        <w:tblStyle w:val="9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528"/>
        <w:gridCol w:w="2410"/>
        <w:gridCol w:w="3827"/>
      </w:tblGrid>
      <w:tr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课程子目标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对应课程内容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对应毕业要求</w:t>
            </w:r>
          </w:p>
        </w:tc>
      </w:tr>
      <w:tr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课程目标1</w:t>
            </w: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1.1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对应毕业要求2.2 具有古今中外基本人文知识的积累，理解和掌握人文思想中所蕴含的认识方法和实践方法；3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掌握英语学科知识体系及其基本思想和方法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1.2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对应毕业要求2.2 具有古今中外基本人文知识的积累，理解和掌握人文思想中所蕴含的认识方法和实践方法；3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掌握英语学科知识体系及其基本思想和方法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.3 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对应毕业要求2.2 具有古今中外基本人文知识的积累，理解和掌握人文思想中所蕴含的认识方法和实践方法；3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掌握英语学科知识体系及其基本思想和方法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课程目标2</w:t>
            </w: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2.1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对应毕业要求2教育情怀，2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2.2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章内容</w:t>
            </w:r>
          </w:p>
        </w:tc>
        <w:tc>
          <w:tcPr>
            <w:tcW w:w="3827" w:type="dxa"/>
            <w:vAlign w:val="center"/>
          </w:tcPr>
          <w:p>
            <w:pPr>
              <w:spacing w:before="156" w:beforeLines="50" w:after="156" w:afterLines="50"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对应毕业要求7学会反思，7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初步掌握教学反思的方法，具有一定创新意识，能够运用批判性思维进行自我反思，不断完善教学</w:t>
            </w:r>
          </w:p>
        </w:tc>
      </w:tr>
      <w:tr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课程目标3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对应毕业要求2 教育情怀，2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具有以人为本的意识，尊重、维护人的尊严与价值；关切学生的发展与幸福感，具有尊重个人与关切人类的态度</w:t>
            </w:r>
          </w:p>
        </w:tc>
      </w:tr>
      <w:tr>
        <w:trPr>
          <w:trHeight w:val="1550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对应毕业要求2 教育情怀，2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>
      <w:pPr>
        <w:spacing w:before="156" w:beforeLines="50" w:after="156" w:afterLines="50"/>
        <w:ind w:firstLine="360" w:firstLineChars="1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第一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时政文献翻译概述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教学目标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了解时政文献的基本特点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掌握时政翻译的基本原则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熟悉翻译的常见问题与处理方法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语篇的衔接与连贯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政治隐喻与政治用典的翻译策略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Hans"/>
        </w:rPr>
        <w:t>时政文献的词汇、句法、语篇与修辞特征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政治用典的识别、理解与翻译对策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课堂观察、课后反思报告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23" w:firstLineChars="176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第二章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党政军民学，东西南北中，党是领导一切的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教学目标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明确中国特色社会主义的最本质特征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掌握数字缩略语的含义与翻译方法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核心概念的理解与译名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3.教学内容</w:t>
      </w:r>
    </w:p>
    <w:p>
      <w:pPr>
        <w:numPr>
          <w:numId w:val="0"/>
        </w:num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中国共产党的历史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核心概念的理解与译名</w:t>
      </w:r>
    </w:p>
    <w:p>
      <w:pPr>
        <w:numPr>
          <w:numId w:val="0"/>
        </w:numPr>
        <w:snapToGrid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数字缩略语的译法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第三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千磨万击还坚劲，任尔东西南北风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0" w:name="_Hlk84193394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教学目标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bookmarkEnd w:id="0"/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明确中国特色社会主义的总任务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理解本单元核心概念的含义与英译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1" w:name="_Hlk84193738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bookmarkEnd w:id="1"/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  <w:t>核心概念与典型篇章的翻译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新时代中国特色社会主义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中国梦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两个一百年”奋斗目标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2" w:name="_Hlk84193280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bookmarkEnd w:id="2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译文点评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第四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江山就是人民，人民就是江山</w:t>
      </w:r>
    </w:p>
    <w:p>
      <w:pPr>
        <w:widowControl/>
        <w:spacing w:before="156" w:beforeLines="50" w:after="156" w:afterLines="50"/>
        <w:ind w:firstLine="423" w:firstLineChars="176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教学目标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明确新时代我国社会主要矛盾、以人民为中心的发展理念、全过程人民民主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核心概念与段落的翻译对策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关键术语的翻译与语篇分析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主要矛盾</w:t>
      </w:r>
    </w:p>
    <w:p>
      <w:pPr>
        <w:snapToGrid w:val="0"/>
        <w:spacing w:before="50" w:after="50"/>
        <w:ind w:left="298" w:leftChars="142" w:firstLine="240" w:firstLineChars="100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全过程人民民主</w:t>
      </w:r>
    </w:p>
    <w:p>
      <w:pPr>
        <w:snapToGrid w:val="0"/>
        <w:spacing w:before="50" w:after="50"/>
        <w:ind w:left="298" w:leftChars="142" w:firstLine="240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（3）译文片段分析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4" w:firstLineChars="20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ind w:firstLine="423" w:firstLineChars="17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第五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总体谋划和战略布局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教学目标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明确总体布局的内涵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理解“五位一体”和“四个全面”的含义与翻译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“五位一体”和“四个全面”的含义与翻译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核心概念讲解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典型句子分析</w:t>
      </w:r>
    </w:p>
    <w:p>
      <w:pPr>
        <w:autoSpaceDE w:val="0"/>
        <w:autoSpaceDN w:val="0"/>
        <w:adjustRightInd w:val="0"/>
        <w:snapToGrid w:val="0"/>
        <w:spacing w:before="50" w:after="50"/>
        <w:ind w:left="210" w:firstLine="244" w:firstLineChars="1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段落翻译释疑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）译文片段分析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23" w:firstLineChars="176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第六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改变只有进行时、没有完成时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教学目标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明确全面深化改革的总目标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理解本单位核心概念的含义与英译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国家治理体系和治理能力现代化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 w:firstLine="163" w:firstLineChars="68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核心概念讲解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 w:firstLine="163" w:firstLineChars="68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专业背景知识补充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 w:firstLine="163" w:firstLineChars="68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文本试译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 w:firstLine="163" w:firstLineChars="68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学生译文点评</w:t>
      </w:r>
      <w:bookmarkStart w:id="3" w:name="_Hlk84196717"/>
    </w:p>
    <w:bookmarkEnd w:id="3"/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ind w:left="284" w:firstLine="139" w:firstLineChars="58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法治兴则民族兴，法治强则国家强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教学目标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明确全面推进依法治国的总目标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理解本单位核心概念和关键句子的含义与英译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snapToGrid w:val="0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全面依法治国</w:t>
      </w:r>
    </w:p>
    <w:p>
      <w:pPr>
        <w:snapToGrid w:val="0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专业术语的比较与应用</w:t>
      </w:r>
    </w:p>
    <w:p>
      <w:pPr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补充相关专业知识</w:t>
      </w:r>
    </w:p>
    <w:p>
      <w:pPr>
        <w:snapToGrid w:val="0"/>
        <w:spacing w:before="156" w:beforeLines="50" w:after="156" w:afterLines="50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学生试译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教师点评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720" w:firstLineChars="3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firstLine="423" w:firstLineChars="17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第八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经济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高质量发展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 xml:space="preserve">教学目标 </w:t>
      </w:r>
    </w:p>
    <w:p>
      <w:pPr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bookmarkStart w:id="4" w:name="_Hlk84196774"/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明确新发展理念、新发展格局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理解核心概念的含义与英译</w:t>
      </w:r>
    </w:p>
    <w:bookmarkEnd w:id="4"/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snapToGrid w:val="0"/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新发展阶段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新发展格局</w:t>
      </w:r>
    </w:p>
    <w:p>
      <w:pPr>
        <w:widowControl/>
        <w:spacing w:before="156" w:beforeLines="50" w:after="156" w:afterLines="50"/>
        <w:ind w:firstLine="720" w:firstLineChars="3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 xml:space="preserve">(3)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新发展理念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关键概念的释义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典型句子翻译分析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4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译文点评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283" w:firstLine="1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学生练习与答疑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23" w:firstLineChars="17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第九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强国必须强军，军强才能国安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教学目标</w:t>
      </w:r>
    </w:p>
    <w:p>
      <w:pPr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明确新时代的强军目标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理解核心概念和关键句子的含义与翻译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概念理解与段落翻译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snapToGrid w:val="0"/>
        <w:spacing w:before="156" w:beforeLines="50" w:after="156" w:afterLines="50"/>
        <w:ind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Hans"/>
        </w:rPr>
        <w:t>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决议》的背景信息</w:t>
      </w:r>
    </w:p>
    <w:p>
      <w:pPr>
        <w:snapToGrid w:val="0"/>
        <w:spacing w:before="156" w:beforeLines="50" w:after="156" w:afterLines="50"/>
        <w:ind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文本类型与翻译策略</w:t>
      </w:r>
    </w:p>
    <w:p>
      <w:pPr>
        <w:widowControl/>
        <w:spacing w:before="156" w:beforeLines="50" w:after="156" w:afterLines="50"/>
        <w:ind w:firstLine="648" w:firstLineChars="27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）译文片段分析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世界好，中国才能好；中国好，世界才能好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教学目标</w:t>
      </w:r>
    </w:p>
    <w:p>
      <w:pPr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明确中国特色大国外交政策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理解核心概念与典型句子的含义与翻译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外交政策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pStyle w:val="22"/>
        <w:autoSpaceDE w:val="0"/>
        <w:autoSpaceDN w:val="0"/>
        <w:adjustRightInd w:val="0"/>
        <w:snapToGrid w:val="0"/>
        <w:spacing w:before="156" w:beforeLines="50" w:after="156" w:afterLines="50"/>
        <w:ind w:left="-2" w:leftChars="-1"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两个大局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ind w:left="-2" w:leftChars="-1"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一带一路</w:t>
      </w:r>
    </w:p>
    <w:p>
      <w:pPr>
        <w:widowControl/>
        <w:spacing w:before="156" w:beforeLines="50" w:after="156" w:afterLines="50"/>
        <w:ind w:left="-2" w:leftChars="-1" w:firstLine="484" w:firstLineChars="202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（3）译文片段分析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第十一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打铁必须自身硬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教学目标 </w:t>
      </w:r>
    </w:p>
    <w:p>
      <w:pPr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明确全面从严治党的战略方针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理解核心概念的含义与英译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snapToGrid w:val="0"/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六个建设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自我革命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snapToGrid w:val="0"/>
        <w:spacing w:before="156" w:beforeLines="50" w:after="156" w:afterLines="50"/>
        <w:ind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专业背景知识讲解</w:t>
      </w:r>
    </w:p>
    <w:p>
      <w:pPr>
        <w:pStyle w:val="22"/>
        <w:autoSpaceDE w:val="0"/>
        <w:autoSpaceDN w:val="0"/>
        <w:adjustRightInd w:val="0"/>
        <w:snapToGrid w:val="0"/>
        <w:spacing w:before="156" w:beforeLines="50" w:after="156" w:afterLines="50"/>
        <w:ind w:left="-2" w:leftChars="-1"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核心概念译法释疑</w:t>
      </w:r>
    </w:p>
    <w:p>
      <w:pPr>
        <w:snapToGrid w:val="0"/>
        <w:spacing w:before="156" w:beforeLines="50" w:after="156" w:afterLines="50"/>
        <w:ind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学生练习与点评</w:t>
      </w:r>
    </w:p>
    <w:p>
      <w:pPr>
        <w:widowControl/>
        <w:spacing w:before="156" w:beforeLines="50" w:after="156" w:afterLines="50"/>
        <w:ind w:firstLine="648" w:firstLineChars="27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）译文片段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赏析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第十二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时政文献的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副文本翻译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教学目标 </w:t>
      </w:r>
    </w:p>
    <w:p>
      <w:pPr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了解时政文献的副文本特点、类型与功能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掌握副文本翻译的基本方法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教学重难点</w:t>
      </w:r>
    </w:p>
    <w:p>
      <w:pPr>
        <w:pStyle w:val="22"/>
        <w:snapToGrid w:val="0"/>
        <w:spacing w:before="50" w:after="50"/>
        <w:ind w:firstLine="484" w:firstLineChars="202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副文本的特点、类型与功能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文本翻译的基本方法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教学内容</w:t>
      </w:r>
    </w:p>
    <w:p>
      <w:pPr>
        <w:snapToGrid w:val="0"/>
        <w:spacing w:before="156" w:beforeLines="50" w:after="156" w:afterLines="50"/>
        <w:ind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副文本与副翻译的概念</w:t>
      </w:r>
    </w:p>
    <w:p>
      <w:pPr>
        <w:pStyle w:val="22"/>
        <w:autoSpaceDE w:val="0"/>
        <w:autoSpaceDN w:val="0"/>
        <w:adjustRightInd w:val="0"/>
        <w:snapToGrid w:val="0"/>
        <w:spacing w:before="156" w:beforeLines="50" w:after="156" w:afterLines="50"/>
        <w:ind w:left="-2" w:leftChars="-1"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副文本的类型与功能</w:t>
      </w:r>
    </w:p>
    <w:p>
      <w:pPr>
        <w:snapToGrid w:val="0"/>
        <w:spacing w:before="156" w:beforeLines="50" w:after="156" w:afterLines="50"/>
        <w:ind w:firstLine="648" w:firstLineChars="27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Hans"/>
        </w:rPr>
        <w:t>中英福文本的差异</w:t>
      </w:r>
    </w:p>
    <w:p>
      <w:pPr>
        <w:widowControl/>
        <w:spacing w:before="156" w:beforeLines="50" w:after="156" w:afterLines="50"/>
        <w:ind w:firstLine="648" w:firstLineChars="27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）译文片段分析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教学评价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课堂观察、案例分析、课后反思报告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sz w:val="24"/>
          <w:szCs w:val="24"/>
          <w:lang w:val="en-GB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表2：各章节的具体内容和学时分配表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党的全面领导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四个自信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以人民为中心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总体谋划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全面深化改革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全面依法治党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经济高质量发展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强军目标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外交政策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第十一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全面从严治党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第十二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单元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副文本与副翻译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表3：教学进度表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134"/>
        <w:gridCol w:w="1701"/>
        <w:gridCol w:w="1985"/>
        <w:gridCol w:w="482"/>
        <w:gridCol w:w="1644"/>
        <w:gridCol w:w="646"/>
      </w:tblGrid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概述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Hans"/>
              </w:rPr>
              <w:t>语言特点与翻译原则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自学教材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-3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党的全面领导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核心概念与译名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提问与讨论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4-5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四个自信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数字缩略语的翻译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自学与提问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以人民为中心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专业背景知识的重要性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现场翻译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讨论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总体谋划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核心术语的译名与规范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翻译作业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全面深化改革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国家治理体系与能力现代化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全面依法治国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专业术语的内涵与英译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自学教材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经济高质量发展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专业背景知识补充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提问与讨论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强军目标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国内外译法的比较与分析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查找国外媒体的报道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4-15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外交政策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外交话语的翻译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全面从严治党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政治隐喻的翻译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提问与讨论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340" w:hRule="atLeast"/>
          <w:jc w:val="center"/>
        </w:trPr>
        <w:tc>
          <w:tcPr>
            <w:tcW w:w="7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7-18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副文本与副翻译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类型、功能与译法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自学教材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作业练习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六、教材及参考书目</w:t>
      </w:r>
    </w:p>
    <w:p>
      <w:pPr>
        <w:snapToGrid w:val="0"/>
        <w:spacing w:line="360" w:lineRule="auto"/>
        <w:ind w:left="1050" w:hanging="1200" w:hangingChars="5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指定教材：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理解当代中国高级汉英笔译</w:t>
      </w:r>
      <w:r>
        <w:rPr>
          <w:rFonts w:hint="eastAsia" w:ascii="宋体" w:hAnsi="宋体" w:eastAsia="宋体" w:cs="宋体"/>
          <w:sz w:val="24"/>
          <w:szCs w:val="24"/>
        </w:rPr>
        <w:t>教程》，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外语教学与研究</w:t>
      </w:r>
      <w:r>
        <w:rPr>
          <w:rFonts w:hint="eastAsia" w:ascii="宋体" w:hAnsi="宋体" w:eastAsia="宋体" w:cs="宋体"/>
          <w:sz w:val="24"/>
          <w:szCs w:val="24"/>
        </w:rPr>
        <w:t>出版社，</w:t>
      </w:r>
      <w:r>
        <w:rPr>
          <w:rFonts w:hint="eastAsia" w:ascii="宋体" w:hAnsi="宋体" w:eastAsia="宋体" w:cs="宋体"/>
          <w:sz w:val="24"/>
          <w:szCs w:val="24"/>
        </w:rPr>
        <w:t>2022</w:t>
      </w:r>
    </w:p>
    <w:p>
      <w:pPr>
        <w:snapToGrid w:val="0"/>
        <w:spacing w:line="360" w:lineRule="auto"/>
        <w:ind w:left="1050" w:hanging="1200" w:hangingChars="5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参考书目：</w:t>
      </w:r>
    </w:p>
    <w:p>
      <w:pPr>
        <w:snapToGrid w:val="0"/>
        <w:spacing w:line="360" w:lineRule="auto"/>
        <w:ind w:left="480" w:hanging="480" w:hangingChars="200"/>
        <w:jc w:val="both"/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  <w:t xml:space="preserve"> Baker, Mona, 1999. In Other Words: A Coursebook on Translation, London: Routledge.</w:t>
      </w:r>
    </w:p>
    <w:p>
      <w:pPr>
        <w:snapToGrid w:val="0"/>
        <w:spacing w:line="360" w:lineRule="auto"/>
        <w:ind w:left="525" w:hanging="600" w:hangingChars="250"/>
        <w:jc w:val="both"/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  <w:t xml:space="preserve">2. Hatim, B., &amp; Mason, I. 2005. The translator as communicator. London: Routledge.   </w:t>
      </w:r>
    </w:p>
    <w:p>
      <w:pPr>
        <w:snapToGrid w:val="0"/>
        <w:spacing w:line="360" w:lineRule="auto"/>
        <w:ind w:left="525" w:hanging="600" w:hangingChars="250"/>
        <w:jc w:val="both"/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  <w:t>3. Newmark, Peter, 1988, A Textbook of Translation, Hertfordshire: Prentice Hall International Ltd.</w:t>
      </w:r>
    </w:p>
    <w:p>
      <w:pPr>
        <w:snapToGrid w:val="0"/>
        <w:spacing w:line="360" w:lineRule="auto"/>
        <w:ind w:left="525" w:hanging="600" w:hangingChars="250"/>
        <w:jc w:val="both"/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  <w:t xml:space="preserve">4. Nida, Eugene A, 1993, Language, Culture, and Translation, Shanghai: Shanghai Foreign Language Education Press. </w:t>
      </w:r>
    </w:p>
    <w:p>
      <w:pPr>
        <w:snapToGrid w:val="0"/>
        <w:spacing w:line="360" w:lineRule="auto"/>
        <w:ind w:left="525" w:hanging="600" w:hangingChars="250"/>
        <w:jc w:val="both"/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  <w:t>5. Nord, Christiane, 1997, Translating as a Purposeful Activity, Manchester: St. Jerome.</w:t>
      </w:r>
    </w:p>
    <w:p>
      <w:pPr>
        <w:snapToGrid w:val="0"/>
        <w:spacing w:line="360" w:lineRule="auto"/>
        <w:ind w:left="525" w:hanging="600" w:hangingChars="250"/>
        <w:jc w:val="both"/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i w:val="0"/>
          <w:sz w:val="24"/>
          <w:szCs w:val="24"/>
        </w:rPr>
        <w:t>6. Xi Jinping. The Governance of China (Vol 1-4), Beijing: Foreign Languages Press. 2014,2017,2020,2022</w:t>
      </w: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冯庆华，《实用翻译教程》，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</w:rPr>
        <w:t>上海：上海外语教育出版社，2010。</w:t>
      </w: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李运兴，《英汉语篇翻译》， 北京：清华大学出版社，2011.</w:t>
      </w: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</w:rPr>
        <w:t>夏济安，美国名家散文选读，复旦大学出版社，2</w:t>
      </w:r>
      <w:r>
        <w:rPr>
          <w:rFonts w:hint="eastAsia" w:ascii="宋体" w:hAnsi="宋体" w:eastAsia="宋体" w:cs="宋体"/>
          <w:sz w:val="24"/>
          <w:szCs w:val="24"/>
        </w:rPr>
        <w:t>000</w:t>
      </w:r>
      <w:r>
        <w:rPr>
          <w:rFonts w:hint="eastAsia" w:ascii="宋体" w:hAnsi="宋体" w:eastAsia="宋体" w:cs="宋体"/>
          <w:sz w:val="24"/>
          <w:szCs w:val="24"/>
        </w:rPr>
        <w:t>年</w:t>
      </w:r>
    </w:p>
    <w:p>
      <w:pPr>
        <w:pStyle w:val="2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10. </w:t>
      </w:r>
      <w:r>
        <w:rPr>
          <w:rFonts w:hint="eastAsia" w:ascii="宋体" w:hAnsi="宋体" w:eastAsia="宋体" w:cs="宋体"/>
          <w:sz w:val="24"/>
          <w:szCs w:val="24"/>
        </w:rPr>
        <w:t>刘炳善，英国散文选：英汉对照，上海译文出版社，1</w:t>
      </w:r>
      <w:r>
        <w:rPr>
          <w:rFonts w:hint="eastAsia" w:ascii="宋体" w:hAnsi="宋体" w:eastAsia="宋体" w:cs="宋体"/>
          <w:sz w:val="24"/>
          <w:szCs w:val="24"/>
        </w:rPr>
        <w:t>985</w:t>
      </w:r>
      <w:r>
        <w:rPr>
          <w:rFonts w:hint="eastAsia" w:ascii="宋体" w:hAnsi="宋体" w:eastAsia="宋体" w:cs="宋体"/>
          <w:sz w:val="24"/>
          <w:szCs w:val="24"/>
        </w:rPr>
        <w:t>年</w:t>
      </w:r>
    </w:p>
    <w:p>
      <w:pPr>
        <w:pStyle w:val="2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11. </w:t>
      </w:r>
      <w:r>
        <w:rPr>
          <w:rFonts w:hint="eastAsia" w:ascii="宋体" w:hAnsi="宋体" w:eastAsia="宋体" w:cs="宋体"/>
          <w:sz w:val="24"/>
          <w:szCs w:val="24"/>
        </w:rPr>
        <w:t>高健，英美近代散文选读，商务印书馆，</w:t>
      </w:r>
      <w:r>
        <w:rPr>
          <w:rFonts w:hint="eastAsia" w:ascii="宋体" w:hAnsi="宋体" w:eastAsia="宋体" w:cs="宋体"/>
          <w:sz w:val="24"/>
          <w:szCs w:val="24"/>
        </w:rPr>
        <w:t>1986</w:t>
      </w:r>
      <w:r>
        <w:rPr>
          <w:rFonts w:hint="eastAsia" w:ascii="宋体" w:hAnsi="宋体" w:eastAsia="宋体" w:cs="宋体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pStyle w:val="2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12. </w:t>
      </w:r>
      <w:r>
        <w:rPr>
          <w:rFonts w:hint="eastAsia" w:ascii="宋体" w:hAnsi="宋体" w:eastAsia="宋体" w:cs="宋体"/>
          <w:sz w:val="24"/>
          <w:szCs w:val="24"/>
        </w:rPr>
        <w:t>刘士聪，英语经典散文翻译与赏析，商务印书馆，2</w:t>
      </w:r>
      <w:r>
        <w:rPr>
          <w:rFonts w:hint="eastAsia" w:ascii="宋体" w:hAnsi="宋体" w:eastAsia="宋体" w:cs="宋体"/>
          <w:sz w:val="24"/>
          <w:szCs w:val="24"/>
        </w:rPr>
        <w:t>017</w:t>
      </w:r>
      <w:r>
        <w:rPr>
          <w:rFonts w:hint="eastAsia" w:ascii="宋体" w:hAnsi="宋体" w:eastAsia="宋体" w:cs="宋体"/>
          <w:sz w:val="24"/>
          <w:szCs w:val="24"/>
        </w:rPr>
        <w:t>年</w:t>
      </w:r>
    </w:p>
    <w:p>
      <w:pPr>
        <w:snapToGrid w:val="0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杨平，《名作精译——〈中国翻译〉英译汉选萃》，青岛：青岛出版社，2004。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七、教学方法</w:t>
      </w:r>
    </w:p>
    <w:p>
      <w:pPr>
        <w:widowControl/>
        <w:spacing w:before="156" w:beforeLines="50" w:after="156" w:afterLines="50"/>
        <w:ind w:firstLine="648" w:firstLineChars="270"/>
        <w:jc w:val="left"/>
        <w:rPr>
          <w:rFonts w:hint="eastAsia" w:ascii="宋体" w:hAnsi="宋体" w:eastAsia="宋体" w:cs="宋体"/>
          <w:sz w:val="24"/>
          <w:szCs w:val="24"/>
          <w:lang w:val="en-GB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GB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GB"/>
        </w:rPr>
        <w:t>讲授法：教师采用举例、比较等多种方式讲解主要概念及课程其他内容。</w:t>
      </w:r>
    </w:p>
    <w:p>
      <w:pPr>
        <w:widowControl/>
        <w:spacing w:before="156" w:beforeLines="50" w:after="156" w:afterLines="50"/>
        <w:ind w:firstLine="648" w:firstLineChars="270"/>
        <w:jc w:val="left"/>
        <w:rPr>
          <w:rFonts w:hint="eastAsia" w:ascii="宋体" w:hAnsi="宋体" w:eastAsia="宋体" w:cs="宋体"/>
          <w:sz w:val="24"/>
          <w:szCs w:val="24"/>
          <w:lang w:val="en-GB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GB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GB"/>
        </w:rPr>
        <w:t>讨论法：教师组织学生分组或者全班讨论。</w:t>
      </w:r>
    </w:p>
    <w:p>
      <w:pPr>
        <w:widowControl/>
        <w:spacing w:before="156" w:beforeLines="50" w:after="156" w:afterLines="50"/>
        <w:ind w:firstLine="648" w:firstLineChars="270"/>
        <w:jc w:val="left"/>
        <w:rPr>
          <w:rFonts w:hint="eastAsia" w:ascii="宋体" w:hAnsi="宋体" w:eastAsia="宋体" w:cs="宋体"/>
          <w:sz w:val="24"/>
          <w:szCs w:val="24"/>
          <w:lang w:val="en-GB"/>
        </w:rPr>
      </w:pPr>
      <w:r>
        <w:rPr>
          <w:rFonts w:hint="eastAsia" w:ascii="宋体" w:hAnsi="宋体" w:eastAsia="宋体" w:cs="宋体"/>
          <w:sz w:val="24"/>
          <w:szCs w:val="24"/>
          <w:lang w:val="en-GB"/>
        </w:rPr>
        <w:t>3</w:t>
      </w:r>
      <w:r>
        <w:rPr>
          <w:rFonts w:hint="eastAsia" w:ascii="宋体" w:hAnsi="宋体" w:eastAsia="宋体" w:cs="宋体"/>
          <w:sz w:val="24"/>
          <w:szCs w:val="24"/>
          <w:lang w:val="en-GB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译文点评</w:t>
      </w:r>
      <w:r>
        <w:rPr>
          <w:rFonts w:hint="eastAsia" w:ascii="宋体" w:hAnsi="宋体" w:eastAsia="宋体" w:cs="宋体"/>
          <w:sz w:val="24"/>
          <w:szCs w:val="24"/>
          <w:lang w:val="en-GB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从学生作业中选取典型问题分析点评</w:t>
      </w:r>
      <w:r>
        <w:rPr>
          <w:rFonts w:hint="eastAsia" w:ascii="宋体" w:hAnsi="宋体" w:eastAsia="宋体" w:cs="宋体"/>
          <w:sz w:val="24"/>
          <w:szCs w:val="24"/>
          <w:lang w:val="en-GB"/>
        </w:rPr>
        <w:t>。</w:t>
      </w:r>
    </w:p>
    <w:p>
      <w:pPr>
        <w:widowControl/>
        <w:spacing w:before="156" w:beforeLines="50" w:after="156" w:afterLines="50"/>
        <w:ind w:left="424" w:leftChars="202" w:firstLine="163" w:firstLineChars="68"/>
        <w:jc w:val="left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GB"/>
        </w:rPr>
        <w:t>4</w:t>
      </w:r>
      <w:r>
        <w:rPr>
          <w:rFonts w:hint="eastAsia" w:ascii="宋体" w:hAnsi="宋体" w:eastAsia="宋体" w:cs="宋体"/>
          <w:sz w:val="24"/>
          <w:szCs w:val="24"/>
          <w:lang w:val="en-GB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比较法：教师译文、学生译文、中外译文进行比较</w:t>
      </w:r>
    </w:p>
    <w:p>
      <w:pPr>
        <w:widowControl/>
        <w:ind w:left="424" w:leftChars="202" w:firstLine="2"/>
        <w:jc w:val="left"/>
        <w:rPr>
          <w:rFonts w:hint="eastAsia" w:ascii="宋体" w:hAnsi="宋体" w:eastAsia="宋体" w:cs="宋体"/>
          <w:sz w:val="24"/>
          <w:szCs w:val="24"/>
          <w:lang w:val="en-GB"/>
        </w:rPr>
      </w:pP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/>
          <w:sz w:val="24"/>
          <w:szCs w:val="24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表4：课程考核与课程目标的对应关系表</w:t>
      </w:r>
    </w:p>
    <w:tbl>
      <w:tblPr>
        <w:tblStyle w:val="9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专业知识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跨文化转换能力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对外翻译能力与传播能力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平时成绩、期中考察、期末考察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1．评定方法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采用形成性评价方式，关注学生课程目标达成情况，课程总成绩包括：（1）平时成绩（出席率、课堂表现、小组展示、课后反思）</w:t>
      </w:r>
      <w:r>
        <w:rPr>
          <w:rFonts w:hint="eastAsia" w:ascii="宋体" w:hAnsi="宋体" w:eastAsia="宋体" w:cs="宋体"/>
          <w:sz w:val="24"/>
          <w:szCs w:val="24"/>
        </w:rPr>
        <w:t>30%</w:t>
      </w:r>
      <w:r>
        <w:rPr>
          <w:rFonts w:hint="eastAsia" w:ascii="宋体" w:hAnsi="宋体" w:eastAsia="宋体" w:cs="宋体"/>
          <w:sz w:val="24"/>
          <w:szCs w:val="24"/>
        </w:rPr>
        <w:t>；（2）期中考察（期中学习报告）</w:t>
      </w:r>
      <w:r>
        <w:rPr>
          <w:rFonts w:hint="eastAsia" w:ascii="宋体" w:hAnsi="宋体" w:eastAsia="宋体" w:cs="宋体"/>
          <w:sz w:val="24"/>
          <w:szCs w:val="24"/>
        </w:rPr>
        <w:t>20%</w:t>
      </w:r>
      <w:r>
        <w:rPr>
          <w:rFonts w:hint="eastAsia" w:ascii="宋体" w:hAnsi="宋体" w:eastAsia="宋体" w:cs="宋体"/>
          <w:sz w:val="24"/>
          <w:szCs w:val="24"/>
        </w:rPr>
        <w:t>；（3）期末考察（期末学习报告、课程反思）</w:t>
      </w:r>
      <w:r>
        <w:rPr>
          <w:rFonts w:hint="eastAsia" w:ascii="宋体" w:hAnsi="宋体" w:eastAsia="宋体" w:cs="宋体"/>
          <w:sz w:val="24"/>
          <w:szCs w:val="24"/>
        </w:rPr>
        <w:t>50%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2．课程目标的考核占比与达成度分析</w:t>
      </w:r>
    </w:p>
    <w:p>
      <w:pPr>
        <w:widowControl/>
        <w:spacing w:before="156" w:beforeLines="50" w:after="156" w:afterLines="50"/>
        <w:ind w:firstLine="480" w:firstLineChars="20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表5：课程目标的考核占比与达成度分析表</w:t>
      </w:r>
    </w:p>
    <w:tbl>
      <w:tblPr>
        <w:tblStyle w:val="9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考核占比</w:t>
            </w:r>
          </w:p>
          <w:p>
            <w:pPr>
              <w:spacing w:before="156" w:beforeLines="50" w:after="156" w:afterLines="50"/>
              <w:ind w:firstLine="120" w:firstLineChars="5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期中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课程目标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达成度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（1）课程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达成度={0.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1平时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成绩+0.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1期中成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绩+0.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1期末成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绩}/目标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3. </w:t>
      </w:r>
      <w:r>
        <w:rPr>
          <w:rFonts w:hint="eastAsia" w:ascii="宋体" w:hAnsi="宋体" w:eastAsia="宋体" w:cs="宋体"/>
          <w:b/>
          <w:sz w:val="24"/>
          <w:szCs w:val="24"/>
        </w:rPr>
        <w:t>课程目标达成度定性分析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（1）课程目标1达成情况概述及典型学习案例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（2）课程目标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）课程目标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达成情况概述及典型学习案例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（三）评分标准 </w:t>
      </w:r>
    </w:p>
    <w:tbl>
      <w:tblPr>
        <w:tblStyle w:val="9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＜6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能够非常好地理解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习近平新时代中国特色社会主义思想，并准确翻译。</w:t>
            </w:r>
          </w:p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能够很好地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理解，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并较好翻译。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一般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并一般翻译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能够基本理解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并基本翻译</w:t>
            </w:r>
          </w:p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不能理解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翻译错误</w:t>
            </w:r>
          </w:p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能够非常好地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用英语对外传播中国文化，并具备很强地跨文化交际能力</w:t>
            </w:r>
          </w:p>
          <w:p>
            <w:pPr>
              <w:pStyle w:val="3"/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好地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用英语对外传播中国文化，并具备较好地跨文化交际能力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一般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用英语对外传播中国文化，并具备一般地跨文化交际能力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基本用英语对外传播中国文化，并具备基本地跨文化交际能力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不能够用英语对外传播中国文化，不具备跨文化交际能力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能够熟练地用英文讲好中国故事，具备很强地中译英的翻译能力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能够较熟练地用英文讲好中国故事，具备较强地中译英的翻译能力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能够较一般地用英文讲好中国故事，具备一般地中译英的翻译能力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能够基本上用英文讲好中国故事，具备基本地中译英的翻译能力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不能够用英文讲好中国故事，不具备中译英的翻译能力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NewRomanPSMT">
    <w:panose1 w:val="02020603050405020304"/>
    <w:charset w:val="8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2"/>
      </w:rPr>
      <w:id w:val="580099301"/>
      <w:docPartObj>
        <w:docPartGallery w:val="AutoText"/>
      </w:docPartObj>
    </w:sdtPr>
    <w:sdtEndPr>
      <w:rPr>
        <w:rStyle w:val="12"/>
      </w:rPr>
    </w:sdtEndPr>
    <w:sdtContent>
      <w:p>
        <w:pPr>
          <w:pStyle w:val="5"/>
          <w:framePr w:wrap="auto" w:vAnchor="text" w:hAnchor="margin" w:xAlign="center" w:y="1"/>
          <w:rPr>
            <w:rStyle w:val="12"/>
          </w:rPr>
        </w:pPr>
        <w:r>
          <w:rPr>
            <w:rStyle w:val="12"/>
          </w:rPr>
          <w:fldChar w:fldCharType="begin"/>
        </w:r>
        <w:r>
          <w:rPr>
            <w:rStyle w:val="12"/>
          </w:rPr>
          <w:instrText xml:space="preserve"> PAGE </w:instrText>
        </w:r>
        <w:r>
          <w:rPr>
            <w:rStyle w:val="12"/>
          </w:rPr>
          <w:fldChar w:fldCharType="separate"/>
        </w:r>
        <w:r>
          <w:rPr>
            <w:rStyle w:val="12"/>
          </w:rPr>
          <w:t>1</w:t>
        </w:r>
        <w:r>
          <w:rPr>
            <w:rStyle w:val="12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2"/>
      </w:rPr>
      <w:id w:val="2045248888"/>
      <w:docPartObj>
        <w:docPartGallery w:val="AutoText"/>
      </w:docPartObj>
    </w:sdtPr>
    <w:sdtEndPr>
      <w:rPr>
        <w:rStyle w:val="12"/>
      </w:rPr>
    </w:sdtEndPr>
    <w:sdtContent>
      <w:p>
        <w:pPr>
          <w:pStyle w:val="5"/>
          <w:framePr w:wrap="auto" w:vAnchor="text" w:hAnchor="margin" w:xAlign="center" w:y="1"/>
          <w:rPr>
            <w:rStyle w:val="12"/>
          </w:rPr>
        </w:pPr>
        <w:r>
          <w:rPr>
            <w:rStyle w:val="12"/>
          </w:rPr>
          <w:fldChar w:fldCharType="begin"/>
        </w:r>
        <w:r>
          <w:rPr>
            <w:rStyle w:val="12"/>
          </w:rPr>
          <w:instrText xml:space="preserve"> PAGE </w:instrText>
        </w:r>
        <w:r>
          <w:rPr>
            <w:rStyle w:val="12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056DD"/>
    <w:rsid w:val="00013AF6"/>
    <w:rsid w:val="00014593"/>
    <w:rsid w:val="0001524E"/>
    <w:rsid w:val="000220D5"/>
    <w:rsid w:val="00022CBB"/>
    <w:rsid w:val="00033EB8"/>
    <w:rsid w:val="00035C05"/>
    <w:rsid w:val="00046350"/>
    <w:rsid w:val="00077A5F"/>
    <w:rsid w:val="00080EC7"/>
    <w:rsid w:val="000836ED"/>
    <w:rsid w:val="00086A8D"/>
    <w:rsid w:val="000932C3"/>
    <w:rsid w:val="00096A21"/>
    <w:rsid w:val="00097235"/>
    <w:rsid w:val="000B344C"/>
    <w:rsid w:val="000C0365"/>
    <w:rsid w:val="000C262B"/>
    <w:rsid w:val="000C6E16"/>
    <w:rsid w:val="000C71F5"/>
    <w:rsid w:val="000D1122"/>
    <w:rsid w:val="000D2D1B"/>
    <w:rsid w:val="000D3FC9"/>
    <w:rsid w:val="000D6377"/>
    <w:rsid w:val="000E620F"/>
    <w:rsid w:val="000F054A"/>
    <w:rsid w:val="001055F5"/>
    <w:rsid w:val="00106657"/>
    <w:rsid w:val="00113092"/>
    <w:rsid w:val="001136CD"/>
    <w:rsid w:val="001166AB"/>
    <w:rsid w:val="0013257E"/>
    <w:rsid w:val="00142F6C"/>
    <w:rsid w:val="001430BA"/>
    <w:rsid w:val="001666DC"/>
    <w:rsid w:val="00183D54"/>
    <w:rsid w:val="00190C25"/>
    <w:rsid w:val="00192C26"/>
    <w:rsid w:val="00195C6D"/>
    <w:rsid w:val="00196116"/>
    <w:rsid w:val="001A38D3"/>
    <w:rsid w:val="001A7552"/>
    <w:rsid w:val="001E1BC4"/>
    <w:rsid w:val="001E5325"/>
    <w:rsid w:val="001E5724"/>
    <w:rsid w:val="001F51A4"/>
    <w:rsid w:val="001F5AC7"/>
    <w:rsid w:val="00202A99"/>
    <w:rsid w:val="00222706"/>
    <w:rsid w:val="00226DB0"/>
    <w:rsid w:val="00242673"/>
    <w:rsid w:val="00244CCE"/>
    <w:rsid w:val="002528F3"/>
    <w:rsid w:val="00255294"/>
    <w:rsid w:val="002638B3"/>
    <w:rsid w:val="00265CFB"/>
    <w:rsid w:val="002806D9"/>
    <w:rsid w:val="00285327"/>
    <w:rsid w:val="00295B72"/>
    <w:rsid w:val="002A23D8"/>
    <w:rsid w:val="002A7568"/>
    <w:rsid w:val="002C1F04"/>
    <w:rsid w:val="002C3CF7"/>
    <w:rsid w:val="002D413D"/>
    <w:rsid w:val="002E1830"/>
    <w:rsid w:val="002E39C3"/>
    <w:rsid w:val="002E7864"/>
    <w:rsid w:val="00312EF1"/>
    <w:rsid w:val="00313A87"/>
    <w:rsid w:val="00322986"/>
    <w:rsid w:val="003254CD"/>
    <w:rsid w:val="003274BB"/>
    <w:rsid w:val="0034254B"/>
    <w:rsid w:val="00342EBA"/>
    <w:rsid w:val="003434BA"/>
    <w:rsid w:val="003453C7"/>
    <w:rsid w:val="003460F9"/>
    <w:rsid w:val="0035096F"/>
    <w:rsid w:val="00351857"/>
    <w:rsid w:val="00385BC8"/>
    <w:rsid w:val="0038665C"/>
    <w:rsid w:val="003C289D"/>
    <w:rsid w:val="003C2E8C"/>
    <w:rsid w:val="003C4D99"/>
    <w:rsid w:val="003C5DF8"/>
    <w:rsid w:val="003E1AB6"/>
    <w:rsid w:val="003E4866"/>
    <w:rsid w:val="003F22CB"/>
    <w:rsid w:val="004070CF"/>
    <w:rsid w:val="00411F17"/>
    <w:rsid w:val="00422FB4"/>
    <w:rsid w:val="00431831"/>
    <w:rsid w:val="004326FA"/>
    <w:rsid w:val="0043330F"/>
    <w:rsid w:val="004404C9"/>
    <w:rsid w:val="00442455"/>
    <w:rsid w:val="00452303"/>
    <w:rsid w:val="0045647F"/>
    <w:rsid w:val="00467DF7"/>
    <w:rsid w:val="004701BF"/>
    <w:rsid w:val="00471DA6"/>
    <w:rsid w:val="0049307C"/>
    <w:rsid w:val="004964E0"/>
    <w:rsid w:val="004972A6"/>
    <w:rsid w:val="004B010E"/>
    <w:rsid w:val="004B1A59"/>
    <w:rsid w:val="004B7068"/>
    <w:rsid w:val="004C3A99"/>
    <w:rsid w:val="004C5518"/>
    <w:rsid w:val="004D6816"/>
    <w:rsid w:val="004D69D7"/>
    <w:rsid w:val="004D7404"/>
    <w:rsid w:val="004E08D3"/>
    <w:rsid w:val="004E4206"/>
    <w:rsid w:val="004E4F58"/>
    <w:rsid w:val="004F38E1"/>
    <w:rsid w:val="004F3E08"/>
    <w:rsid w:val="004F557B"/>
    <w:rsid w:val="00504D48"/>
    <w:rsid w:val="0052114F"/>
    <w:rsid w:val="00544C88"/>
    <w:rsid w:val="00545C68"/>
    <w:rsid w:val="00551D66"/>
    <w:rsid w:val="005567C4"/>
    <w:rsid w:val="0056239F"/>
    <w:rsid w:val="00583771"/>
    <w:rsid w:val="00594CFF"/>
    <w:rsid w:val="005A0378"/>
    <w:rsid w:val="005A5329"/>
    <w:rsid w:val="005C4904"/>
    <w:rsid w:val="005D3728"/>
    <w:rsid w:val="005D462F"/>
    <w:rsid w:val="005D6F9C"/>
    <w:rsid w:val="005F5D4F"/>
    <w:rsid w:val="005F72F4"/>
    <w:rsid w:val="0060396D"/>
    <w:rsid w:val="00663DE7"/>
    <w:rsid w:val="00665621"/>
    <w:rsid w:val="006B181A"/>
    <w:rsid w:val="006B2C98"/>
    <w:rsid w:val="006B3440"/>
    <w:rsid w:val="006D2866"/>
    <w:rsid w:val="006E4F82"/>
    <w:rsid w:val="006F1D51"/>
    <w:rsid w:val="006F51F1"/>
    <w:rsid w:val="006F64C9"/>
    <w:rsid w:val="00702059"/>
    <w:rsid w:val="00703FDB"/>
    <w:rsid w:val="0071243E"/>
    <w:rsid w:val="007162DA"/>
    <w:rsid w:val="00722DDE"/>
    <w:rsid w:val="00726D82"/>
    <w:rsid w:val="00751A40"/>
    <w:rsid w:val="00763163"/>
    <w:rsid w:val="007639A2"/>
    <w:rsid w:val="00784A75"/>
    <w:rsid w:val="00791AF6"/>
    <w:rsid w:val="00792620"/>
    <w:rsid w:val="00792D9D"/>
    <w:rsid w:val="007B021F"/>
    <w:rsid w:val="007B404B"/>
    <w:rsid w:val="007C379D"/>
    <w:rsid w:val="007C529C"/>
    <w:rsid w:val="007C62ED"/>
    <w:rsid w:val="007D272E"/>
    <w:rsid w:val="007E39E3"/>
    <w:rsid w:val="007E7EE0"/>
    <w:rsid w:val="007F1F14"/>
    <w:rsid w:val="008128AD"/>
    <w:rsid w:val="00833866"/>
    <w:rsid w:val="00843A64"/>
    <w:rsid w:val="00847420"/>
    <w:rsid w:val="00851945"/>
    <w:rsid w:val="00852B20"/>
    <w:rsid w:val="008560E2"/>
    <w:rsid w:val="008755D8"/>
    <w:rsid w:val="008809C4"/>
    <w:rsid w:val="00884BF8"/>
    <w:rsid w:val="00886EBF"/>
    <w:rsid w:val="008B0232"/>
    <w:rsid w:val="008C67B8"/>
    <w:rsid w:val="008C7473"/>
    <w:rsid w:val="008D3E25"/>
    <w:rsid w:val="008D5365"/>
    <w:rsid w:val="008E042A"/>
    <w:rsid w:val="008E0A2F"/>
    <w:rsid w:val="00922586"/>
    <w:rsid w:val="0092357B"/>
    <w:rsid w:val="009416EC"/>
    <w:rsid w:val="009535E5"/>
    <w:rsid w:val="0096465B"/>
    <w:rsid w:val="00967F86"/>
    <w:rsid w:val="00985793"/>
    <w:rsid w:val="0099031F"/>
    <w:rsid w:val="009A22D4"/>
    <w:rsid w:val="009A410D"/>
    <w:rsid w:val="009A63C6"/>
    <w:rsid w:val="009C399A"/>
    <w:rsid w:val="009D0120"/>
    <w:rsid w:val="009D260A"/>
    <w:rsid w:val="009E6F22"/>
    <w:rsid w:val="009F0D99"/>
    <w:rsid w:val="009F26A6"/>
    <w:rsid w:val="009F550E"/>
    <w:rsid w:val="00A03BBD"/>
    <w:rsid w:val="00A05868"/>
    <w:rsid w:val="00A07FE3"/>
    <w:rsid w:val="00A205C0"/>
    <w:rsid w:val="00A33051"/>
    <w:rsid w:val="00A33EF4"/>
    <w:rsid w:val="00A371ED"/>
    <w:rsid w:val="00A533C3"/>
    <w:rsid w:val="00A61EFD"/>
    <w:rsid w:val="00AA31B8"/>
    <w:rsid w:val="00AA4570"/>
    <w:rsid w:val="00AA630A"/>
    <w:rsid w:val="00AC2A07"/>
    <w:rsid w:val="00AC31A6"/>
    <w:rsid w:val="00AE3D1A"/>
    <w:rsid w:val="00AE404D"/>
    <w:rsid w:val="00AE42D2"/>
    <w:rsid w:val="00B03909"/>
    <w:rsid w:val="00B15A60"/>
    <w:rsid w:val="00B15EDE"/>
    <w:rsid w:val="00B172A5"/>
    <w:rsid w:val="00B2182D"/>
    <w:rsid w:val="00B304C5"/>
    <w:rsid w:val="00B40ECD"/>
    <w:rsid w:val="00B44D51"/>
    <w:rsid w:val="00B45245"/>
    <w:rsid w:val="00B638DE"/>
    <w:rsid w:val="00B802F4"/>
    <w:rsid w:val="00B8102D"/>
    <w:rsid w:val="00B93E56"/>
    <w:rsid w:val="00B96E8A"/>
    <w:rsid w:val="00BA23F0"/>
    <w:rsid w:val="00BB728E"/>
    <w:rsid w:val="00BB7DA9"/>
    <w:rsid w:val="00BC206E"/>
    <w:rsid w:val="00BC778F"/>
    <w:rsid w:val="00BD30B6"/>
    <w:rsid w:val="00BE34C3"/>
    <w:rsid w:val="00BF7C5D"/>
    <w:rsid w:val="00C00798"/>
    <w:rsid w:val="00C25304"/>
    <w:rsid w:val="00C27527"/>
    <w:rsid w:val="00C36C56"/>
    <w:rsid w:val="00C45B1D"/>
    <w:rsid w:val="00C463B0"/>
    <w:rsid w:val="00C50480"/>
    <w:rsid w:val="00C534D8"/>
    <w:rsid w:val="00C54636"/>
    <w:rsid w:val="00C558EE"/>
    <w:rsid w:val="00C7644B"/>
    <w:rsid w:val="00C876E3"/>
    <w:rsid w:val="00CA53B2"/>
    <w:rsid w:val="00CB2514"/>
    <w:rsid w:val="00CB4296"/>
    <w:rsid w:val="00CB4D35"/>
    <w:rsid w:val="00CC01B5"/>
    <w:rsid w:val="00CC6EE3"/>
    <w:rsid w:val="00CC7A75"/>
    <w:rsid w:val="00CD02C4"/>
    <w:rsid w:val="00CE6323"/>
    <w:rsid w:val="00CF22A3"/>
    <w:rsid w:val="00CF2342"/>
    <w:rsid w:val="00D02F99"/>
    <w:rsid w:val="00D10213"/>
    <w:rsid w:val="00D13271"/>
    <w:rsid w:val="00D136E8"/>
    <w:rsid w:val="00D14471"/>
    <w:rsid w:val="00D20954"/>
    <w:rsid w:val="00D2282E"/>
    <w:rsid w:val="00D3089C"/>
    <w:rsid w:val="00D417A1"/>
    <w:rsid w:val="00D43BA9"/>
    <w:rsid w:val="00D504B7"/>
    <w:rsid w:val="00D61E3E"/>
    <w:rsid w:val="00D64983"/>
    <w:rsid w:val="00D715F7"/>
    <w:rsid w:val="00D73EDC"/>
    <w:rsid w:val="00D8265F"/>
    <w:rsid w:val="00DA137D"/>
    <w:rsid w:val="00DC3B3D"/>
    <w:rsid w:val="00DC4ADB"/>
    <w:rsid w:val="00DD74D4"/>
    <w:rsid w:val="00DD7B5F"/>
    <w:rsid w:val="00DE019B"/>
    <w:rsid w:val="00DE5C8B"/>
    <w:rsid w:val="00DE7849"/>
    <w:rsid w:val="00DF45B7"/>
    <w:rsid w:val="00E006F6"/>
    <w:rsid w:val="00E03F7E"/>
    <w:rsid w:val="00E05E8B"/>
    <w:rsid w:val="00E23802"/>
    <w:rsid w:val="00E34EB6"/>
    <w:rsid w:val="00E366AB"/>
    <w:rsid w:val="00E4104A"/>
    <w:rsid w:val="00E76E34"/>
    <w:rsid w:val="00E940A1"/>
    <w:rsid w:val="00EA0C91"/>
    <w:rsid w:val="00EB2CCC"/>
    <w:rsid w:val="00EB73C9"/>
    <w:rsid w:val="00EC3914"/>
    <w:rsid w:val="00ED7F81"/>
    <w:rsid w:val="00EE6B4C"/>
    <w:rsid w:val="00EE6B96"/>
    <w:rsid w:val="00EF2BAE"/>
    <w:rsid w:val="00EF6CE4"/>
    <w:rsid w:val="00F07E37"/>
    <w:rsid w:val="00F17261"/>
    <w:rsid w:val="00F22D16"/>
    <w:rsid w:val="00F258BC"/>
    <w:rsid w:val="00F40BE1"/>
    <w:rsid w:val="00F42003"/>
    <w:rsid w:val="00F42756"/>
    <w:rsid w:val="00F43984"/>
    <w:rsid w:val="00F475E2"/>
    <w:rsid w:val="00F56396"/>
    <w:rsid w:val="00F56A8C"/>
    <w:rsid w:val="00F62171"/>
    <w:rsid w:val="00F87925"/>
    <w:rsid w:val="00F94B09"/>
    <w:rsid w:val="00FA1224"/>
    <w:rsid w:val="00FA2320"/>
    <w:rsid w:val="00FA7588"/>
    <w:rsid w:val="00FB1DB6"/>
    <w:rsid w:val="00FB5019"/>
    <w:rsid w:val="00FB77A1"/>
    <w:rsid w:val="00FC24B5"/>
    <w:rsid w:val="00FC3B51"/>
    <w:rsid w:val="00FC75F8"/>
    <w:rsid w:val="00FE36E1"/>
    <w:rsid w:val="00FE36E4"/>
    <w:rsid w:val="00FF1B06"/>
    <w:rsid w:val="00FF1F56"/>
    <w:rsid w:val="00FF3F8D"/>
    <w:rsid w:val="5D3D0EAC"/>
    <w:rsid w:val="77FB5CBB"/>
    <w:rsid w:val="F7C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qFormat/>
    <w:uiPriority w:val="99"/>
    <w:pPr>
      <w:jc w:val="left"/>
    </w:pPr>
  </w:style>
  <w:style w:type="paragraph" w:styleId="3">
    <w:name w:val="Plain Text"/>
    <w:basedOn w:val="1"/>
    <w:link w:val="15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unhideWhenUsed/>
    <w:uiPriority w:val="99"/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纯文本 字符"/>
    <w:basedOn w:val="11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6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5"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4"/>
    <w:semiHidden/>
    <w:qFormat/>
    <w:uiPriority w:val="99"/>
    <w:rPr>
      <w:sz w:val="18"/>
      <w:szCs w:val="18"/>
    </w:rPr>
  </w:style>
  <w:style w:type="character" w:customStyle="1" w:styleId="19">
    <w:name w:val="批注文字 字符"/>
    <w:basedOn w:val="11"/>
    <w:link w:val="2"/>
    <w:qFormat/>
    <w:uiPriority w:val="99"/>
  </w:style>
  <w:style w:type="character" w:customStyle="1" w:styleId="20">
    <w:name w:val="批注主题 字符"/>
    <w:basedOn w:val="19"/>
    <w:link w:val="8"/>
    <w:semiHidden/>
    <w:uiPriority w:val="99"/>
    <w:rPr>
      <w:b/>
      <w:bCs/>
    </w:rPr>
  </w:style>
  <w:style w:type="paragraph" w:customStyle="1" w:styleId="21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16</Pages>
  <Words>1219</Words>
  <Characters>6951</Characters>
  <Lines>57</Lines>
  <Paragraphs>16</Paragraphs>
  <TotalTime>2</TotalTime>
  <ScaleCrop>false</ScaleCrop>
  <LinksUpToDate>false</LinksUpToDate>
  <CharactersWithSpaces>8154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2020-12-08T16:33:00Z</dcterms:created>
  <dc:creator>Windows User</dc:creator>
  <cp:lastModifiedBy>Darlingcdl</cp:lastModifiedBy>
  <cp:lastPrinted>2021-08-01T12:05:00Z</cp:lastPrinted>
  <dcterms:modified xsi:type="dcterms:W3CDTF">2023-05-07T14:29:30Z</dcterms:modified>
  <cp:revision>371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90596A7F0132A7AE9217576452C639CA_42</vt:lpwstr>
  </property>
</Properties>
</file>